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C6D6" w14:textId="77777777" w:rsidR="00EE321A" w:rsidRPr="0020201E" w:rsidRDefault="00EE321A" w:rsidP="00315318">
      <w:pPr>
        <w:pStyle w:val="BodyText"/>
      </w:pPr>
    </w:p>
    <w:p w14:paraId="1836C6D7" w14:textId="77777777" w:rsidR="00EE321A" w:rsidRPr="007B1E88" w:rsidRDefault="00EE321A" w:rsidP="00EE321A">
      <w:pPr>
        <w:rPr>
          <w:sz w:val="28"/>
          <w:szCs w:val="28"/>
        </w:rPr>
      </w:pPr>
    </w:p>
    <w:p w14:paraId="1836C6D8" w14:textId="69E6631C" w:rsidR="0091104F" w:rsidRDefault="0091104F" w:rsidP="00315318">
      <w:pPr>
        <w:pStyle w:val="BodyText"/>
      </w:pPr>
    </w:p>
    <w:p w14:paraId="46751FB5" w14:textId="1096A925" w:rsidR="00BA195A" w:rsidRDefault="00BA195A" w:rsidP="00315318">
      <w:pPr>
        <w:pStyle w:val="BodyText"/>
      </w:pPr>
    </w:p>
    <w:p w14:paraId="1836C6E5" w14:textId="7E1F47CB" w:rsidR="009A20EC" w:rsidRDefault="001A102D" w:rsidP="009A20EC">
      <w:pPr>
        <w:pStyle w:val="Heading1"/>
      </w:pPr>
      <w:bookmarkStart w:id="0" w:name="_Toc489966473"/>
      <w:bookmarkStart w:id="1" w:name="_Toc489972311"/>
      <w:r>
        <w:t>ISP Course Progress Policy</w:t>
      </w:r>
    </w:p>
    <w:p w14:paraId="16078549" w14:textId="65303826" w:rsidR="00936071" w:rsidRPr="000953F4" w:rsidRDefault="00936071" w:rsidP="000953F4">
      <w:pPr>
        <w:pStyle w:val="Heading2"/>
      </w:pPr>
      <w:r w:rsidRPr="000953F4">
        <w:t>Purpose</w:t>
      </w:r>
    </w:p>
    <w:p w14:paraId="25679BC1" w14:textId="62BC16E7" w:rsidR="00936071" w:rsidRDefault="00936071" w:rsidP="00561599">
      <w:pPr>
        <w:pStyle w:val="BodyText"/>
      </w:pPr>
      <w:r w:rsidRPr="009067DF">
        <w:t xml:space="preserve">To outline </w:t>
      </w:r>
      <w:r>
        <w:t xml:space="preserve">the Department of Education </w:t>
      </w:r>
      <w:r w:rsidR="00B517A5">
        <w:t>(DE</w:t>
      </w:r>
      <w:r w:rsidR="006660C0">
        <w:t xml:space="preserve"> or department</w:t>
      </w:r>
      <w:r w:rsidR="00B517A5">
        <w:t>)</w:t>
      </w:r>
      <w:r>
        <w:t>, International Education Division (IED)</w:t>
      </w:r>
      <w:r w:rsidRPr="009067DF">
        <w:t xml:space="preserve"> policy on </w:t>
      </w:r>
      <w:r>
        <w:t xml:space="preserve">what students need to do to </w:t>
      </w:r>
      <w:r w:rsidR="00AB552B">
        <w:t xml:space="preserve">achieve </w:t>
      </w:r>
      <w:r>
        <w:t xml:space="preserve">satisfactory course progress and how schools identify, notify and assist students at risk of not </w:t>
      </w:r>
      <w:r w:rsidR="008E0FD1">
        <w:t xml:space="preserve">meeting </w:t>
      </w:r>
      <w:r>
        <w:t>satisfactory course progress</w:t>
      </w:r>
      <w:r w:rsidR="008E0FD1">
        <w:t xml:space="preserve"> requirements</w:t>
      </w:r>
      <w:r>
        <w:t>.</w:t>
      </w:r>
    </w:p>
    <w:p w14:paraId="75CAEF3F" w14:textId="57DA0D26" w:rsidR="00DC0CF1" w:rsidRDefault="00DC0CF1" w:rsidP="00561599">
      <w:pPr>
        <w:pStyle w:val="BodyText"/>
      </w:pPr>
      <w:r>
        <w:t xml:space="preserve">The policy describes how satisfactory course progress is achieved for the primary course, secondary course, and the </w:t>
      </w:r>
      <w:r w:rsidRPr="00DC0CF1">
        <w:t xml:space="preserve">Victorian College of the Arts Secondary </w:t>
      </w:r>
      <w:r w:rsidR="000953F4">
        <w:t xml:space="preserve">School </w:t>
      </w:r>
      <w:r w:rsidRPr="00DC0CF1">
        <w:t>(VCASS)</w:t>
      </w:r>
      <w:r>
        <w:t xml:space="preserve"> </w:t>
      </w:r>
      <w:r w:rsidR="000953F4">
        <w:t>c</w:t>
      </w:r>
      <w:r w:rsidR="000953F4" w:rsidRPr="00DC0CF1">
        <w:t xml:space="preserve">ourse </w:t>
      </w:r>
      <w:r>
        <w:t>of the International Student Program (ISP).</w:t>
      </w:r>
    </w:p>
    <w:p w14:paraId="16F1378F" w14:textId="64CBDC18" w:rsidR="000315D8" w:rsidRDefault="00936071" w:rsidP="00527455">
      <w:pPr>
        <w:pStyle w:val="BodyText"/>
      </w:pPr>
      <w:r>
        <w:t>This policy specif</w:t>
      </w:r>
      <w:r w:rsidR="002B49C0">
        <w:t>ies the</w:t>
      </w:r>
      <w:r>
        <w:t xml:space="preserve"> </w:t>
      </w:r>
      <w:r w:rsidR="001B6A6C">
        <w:t>actions</w:t>
      </w:r>
      <w:r>
        <w:t xml:space="preserve"> DE (IED) </w:t>
      </w:r>
      <w:r w:rsidR="001B6A6C">
        <w:t xml:space="preserve">will take </w:t>
      </w:r>
      <w:r>
        <w:t>if a student is assessed as not meeting satisfactory cour</w:t>
      </w:r>
      <w:r w:rsidR="000315D8">
        <w:t>se progress and explains where the intervention strategies and consequences for students enrolled in a DE course differ</w:t>
      </w:r>
      <w:r w:rsidR="00527455">
        <w:t xml:space="preserve"> from the standard DE requirements outlined in</w:t>
      </w:r>
      <w:r w:rsidR="00105B53">
        <w:t xml:space="preserve"> the </w:t>
      </w:r>
      <w:hyperlink r:id="rId11" w:history="1">
        <w:r w:rsidR="00105B53" w:rsidRPr="006660C0">
          <w:rPr>
            <w:rStyle w:val="Hyperlink"/>
          </w:rPr>
          <w:t>Reporting Student Achievement and Progress Foundation to 10</w:t>
        </w:r>
        <w:r w:rsidR="00105B53" w:rsidRPr="00105B53">
          <w:rPr>
            <w:rStyle w:val="Hyperlink"/>
          </w:rPr>
          <w:t xml:space="preserve"> Policy</w:t>
        </w:r>
      </w:hyperlink>
      <w:r w:rsidR="002C2AD1">
        <w:t xml:space="preserve"> in </w:t>
      </w:r>
      <w:r w:rsidR="000953F4">
        <w:t xml:space="preserve">the department’s </w:t>
      </w:r>
      <w:hyperlink r:id="rId12" w:history="1">
        <w:r w:rsidR="000953F4" w:rsidRPr="000953F4">
          <w:rPr>
            <w:rStyle w:val="Hyperlink"/>
          </w:rPr>
          <w:t>Policy and Advisory Library</w:t>
        </w:r>
      </w:hyperlink>
      <w:r w:rsidR="000953F4">
        <w:t xml:space="preserve"> (</w:t>
      </w:r>
      <w:r w:rsidR="002C2AD1">
        <w:t>PAL</w:t>
      </w:r>
      <w:r w:rsidR="000953F4">
        <w:t>)</w:t>
      </w:r>
      <w:r w:rsidR="000315D8">
        <w:t xml:space="preserve">, </w:t>
      </w:r>
      <w:r w:rsidR="0079587B">
        <w:t xml:space="preserve">due to </w:t>
      </w:r>
      <w:r w:rsidR="00F7445D">
        <w:t xml:space="preserve">the </w:t>
      </w:r>
      <w:r w:rsidR="00F7445D">
        <w:rPr>
          <w:i/>
        </w:rPr>
        <w:t xml:space="preserve">Education Services for Overseas Students Act 2000 </w:t>
      </w:r>
      <w:r w:rsidR="00F7445D">
        <w:t>(Cth) (</w:t>
      </w:r>
      <w:r w:rsidR="0079587B">
        <w:t>ESOS</w:t>
      </w:r>
      <w:r w:rsidR="00F7445D">
        <w:t>)</w:t>
      </w:r>
      <w:r w:rsidR="000315D8">
        <w:t xml:space="preserve"> and student visa conditions.</w:t>
      </w:r>
    </w:p>
    <w:p w14:paraId="079079B1" w14:textId="7BC77808" w:rsidR="00A14138" w:rsidRPr="00AB141B" w:rsidRDefault="00A14138" w:rsidP="00A14138">
      <w:pPr>
        <w:pStyle w:val="BodyText"/>
      </w:pPr>
      <w:r w:rsidRPr="00AB141B">
        <w:t xml:space="preserve">This policy should be read by </w:t>
      </w:r>
      <w:r>
        <w:t>DE (IED)</w:t>
      </w:r>
      <w:r w:rsidRPr="00AB141B">
        <w:t xml:space="preserve">, </w:t>
      </w:r>
      <w:r w:rsidR="002B49C0">
        <w:t>s</w:t>
      </w:r>
      <w:r w:rsidRPr="00AB141B">
        <w:t>chools, and students (including their parent</w:t>
      </w:r>
      <w:r w:rsidR="00673F74">
        <w:t xml:space="preserve">) </w:t>
      </w:r>
      <w:r w:rsidRPr="00AB141B">
        <w:t>who are enrolled in the ISP.</w:t>
      </w:r>
    </w:p>
    <w:p w14:paraId="1836C6EA" w14:textId="43628278" w:rsidR="009A20EC" w:rsidRDefault="009A20EC" w:rsidP="00B60A4B">
      <w:pPr>
        <w:pStyle w:val="Heading2"/>
      </w:pPr>
      <w:r w:rsidRPr="00561599">
        <w:t>Scope</w:t>
      </w:r>
    </w:p>
    <w:p w14:paraId="62889F0A" w14:textId="77777777" w:rsidR="005A1AAA" w:rsidRDefault="005A1AAA" w:rsidP="005A1AAA">
      <w:pPr>
        <w:pStyle w:val="BodyText"/>
        <w:rPr>
          <w:b/>
        </w:rPr>
      </w:pPr>
      <w:r>
        <w:t xml:space="preserve">This policy applies to </w:t>
      </w:r>
      <w:r w:rsidRPr="006660C0">
        <w:rPr>
          <w:bCs/>
        </w:rPr>
        <w:t>international students</w:t>
      </w:r>
      <w:r>
        <w:rPr>
          <w:b/>
        </w:rPr>
        <w:t xml:space="preserve"> </w:t>
      </w:r>
      <w:r w:rsidRPr="00F37A50">
        <w:t>who are</w:t>
      </w:r>
      <w:r w:rsidRPr="00EB10AB">
        <w:t>:</w:t>
      </w:r>
    </w:p>
    <w:p w14:paraId="2E4A3DBE" w14:textId="2E54B9A7" w:rsidR="005A1AAA" w:rsidRPr="00F37A50" w:rsidRDefault="005A1AAA" w:rsidP="005A1AAA">
      <w:pPr>
        <w:pStyle w:val="ListBullet"/>
      </w:pPr>
      <w:r w:rsidRPr="00F37A50">
        <w:t>enrolled in the primary course, secondary course, or the VCASS</w:t>
      </w:r>
      <w:r w:rsidR="000953F4">
        <w:t xml:space="preserve"> course</w:t>
      </w:r>
      <w:r w:rsidRPr="00F37A50">
        <w:t xml:space="preserve"> of the ISP</w:t>
      </w:r>
    </w:p>
    <w:p w14:paraId="712F6635" w14:textId="082F1114" w:rsidR="005A1AAA" w:rsidRDefault="005A1AAA" w:rsidP="005A1AAA">
      <w:pPr>
        <w:pStyle w:val="ListBullet"/>
      </w:pPr>
      <w:r w:rsidRPr="00F37A50">
        <w:t xml:space="preserve">the primary holders of a </w:t>
      </w:r>
      <w:r w:rsidRPr="006660C0">
        <w:rPr>
          <w:bCs/>
        </w:rPr>
        <w:t xml:space="preserve">subclass 500 Student – Schools </w:t>
      </w:r>
      <w:r w:rsidR="000953F4">
        <w:rPr>
          <w:bCs/>
        </w:rPr>
        <w:t>S</w:t>
      </w:r>
      <w:r w:rsidR="000953F4" w:rsidRPr="006660C0">
        <w:rPr>
          <w:bCs/>
        </w:rPr>
        <w:t xml:space="preserve">ector </w:t>
      </w:r>
      <w:r w:rsidRPr="006660C0">
        <w:rPr>
          <w:bCs/>
        </w:rPr>
        <w:t>visa.</w:t>
      </w:r>
    </w:p>
    <w:p w14:paraId="1836C6EC" w14:textId="3EE17186" w:rsidR="009A20EC" w:rsidRPr="000953F4" w:rsidRDefault="009A20EC" w:rsidP="000953F4">
      <w:pPr>
        <w:pStyle w:val="Heading2"/>
      </w:pPr>
      <w:r w:rsidRPr="000953F4">
        <w:t>Policy</w:t>
      </w:r>
    </w:p>
    <w:p w14:paraId="69CD01F6" w14:textId="58E6A13C" w:rsidR="00675D75" w:rsidRPr="00C33257" w:rsidRDefault="002B49C0" w:rsidP="00495729">
      <w:pPr>
        <w:pStyle w:val="BodyText"/>
      </w:pPr>
      <w:r w:rsidRPr="002B49C0">
        <w:t xml:space="preserve">Schools regularly monitor student </w:t>
      </w:r>
      <w:r>
        <w:t xml:space="preserve">progress </w:t>
      </w:r>
      <w:r w:rsidRPr="002B49C0">
        <w:t xml:space="preserve">and are proactive in identifying, notifying and assisting students </w:t>
      </w:r>
      <w:r w:rsidR="00675D75">
        <w:t>to ensure the student is in a position to complete the course within the expected duration specified on the student’s Confirmation of Enrolment (CoE).</w:t>
      </w:r>
    </w:p>
    <w:p w14:paraId="5A3191C0" w14:textId="5BE2AC97" w:rsidR="00561599" w:rsidRDefault="00561599" w:rsidP="00561599">
      <w:pPr>
        <w:pStyle w:val="Heading3"/>
      </w:pPr>
      <w:r>
        <w:t>Satisfactory course progress requirements</w:t>
      </w:r>
    </w:p>
    <w:p w14:paraId="7CF8ABE4" w14:textId="070C5411" w:rsidR="002B0378" w:rsidRDefault="002B0378" w:rsidP="002B0378">
      <w:pPr>
        <w:pStyle w:val="BodyText"/>
      </w:pPr>
      <w:r>
        <w:t xml:space="preserve">It is a student visa condition that students must </w:t>
      </w:r>
      <w:r w:rsidR="00AB552B">
        <w:t xml:space="preserve">achieve </w:t>
      </w:r>
      <w:r w:rsidR="000953F4">
        <w:t xml:space="preserve">‘satisfactory’ </w:t>
      </w:r>
      <w:r>
        <w:t>course progress.</w:t>
      </w:r>
      <w:r w:rsidR="00DC0CF1">
        <w:t xml:space="preserve"> The requirements for satisfactory course progress are different for each course</w:t>
      </w:r>
      <w:r w:rsidR="00C80932">
        <w:t xml:space="preserve"> provided by DE</w:t>
      </w:r>
      <w:r w:rsidR="00DC0CF1">
        <w:t>.</w:t>
      </w:r>
    </w:p>
    <w:p w14:paraId="3542E2BA" w14:textId="7F01B20B" w:rsidR="00FE2830" w:rsidRDefault="00FE2830" w:rsidP="00FE2830">
      <w:pPr>
        <w:pStyle w:val="BodyText"/>
      </w:pPr>
      <w:r>
        <w:t xml:space="preserve">The assessment requirements for students in a DE course are the same as for all other </w:t>
      </w:r>
      <w:r w:rsidR="00675D75">
        <w:t>Victorian government school</w:t>
      </w:r>
      <w:r>
        <w:t xml:space="preserve"> students. Students are assessed on their performance through tasks including:</w:t>
      </w:r>
    </w:p>
    <w:p w14:paraId="6200D2E2" w14:textId="77777777" w:rsidR="00FE2830" w:rsidRDefault="00FE2830" w:rsidP="00FE2830">
      <w:pPr>
        <w:pStyle w:val="ListBullet"/>
      </w:pPr>
      <w:r>
        <w:t>written assignments</w:t>
      </w:r>
    </w:p>
    <w:p w14:paraId="54A715B9" w14:textId="77777777" w:rsidR="00FE2830" w:rsidRDefault="00FE2830" w:rsidP="00FE2830">
      <w:pPr>
        <w:pStyle w:val="ListBullet"/>
      </w:pPr>
      <w:r>
        <w:t>oral presentations</w:t>
      </w:r>
    </w:p>
    <w:p w14:paraId="28F92A15" w14:textId="77777777" w:rsidR="00FE2830" w:rsidRDefault="00FE2830" w:rsidP="00FE2830">
      <w:pPr>
        <w:pStyle w:val="ListBullet"/>
      </w:pPr>
      <w:r>
        <w:t>practical exercises and demonstrations</w:t>
      </w:r>
    </w:p>
    <w:p w14:paraId="79D0333A" w14:textId="77777777" w:rsidR="00FE2830" w:rsidRDefault="00FE2830" w:rsidP="00FE2830">
      <w:pPr>
        <w:pStyle w:val="ListBullet"/>
      </w:pPr>
      <w:r>
        <w:t>texts and examinations</w:t>
      </w:r>
    </w:p>
    <w:p w14:paraId="434A42D6" w14:textId="77777777" w:rsidR="00FE2830" w:rsidRDefault="00FE2830" w:rsidP="00FE2830">
      <w:pPr>
        <w:pStyle w:val="ListBullet"/>
      </w:pPr>
      <w:r>
        <w:t>subject specific tasks.</w:t>
      </w:r>
    </w:p>
    <w:p w14:paraId="12F2F4DF" w14:textId="2191760A" w:rsidR="00FE2830" w:rsidRDefault="00FE2830" w:rsidP="00FE2830">
      <w:pPr>
        <w:pStyle w:val="BodyText"/>
      </w:pPr>
      <w:r>
        <w:t xml:space="preserve">School staff advise students about course work and assessment requirements. The Victorian Curriculum and Assessment Authority (VCAA) </w:t>
      </w:r>
      <w:hyperlink r:id="rId13" w:history="1">
        <w:r w:rsidRPr="003F31DB">
          <w:rPr>
            <w:rStyle w:val="Hyperlink"/>
          </w:rPr>
          <w:t>website</w:t>
        </w:r>
      </w:hyperlink>
      <w:r>
        <w:t xml:space="preserve"> provides information on how courses are assessed.</w:t>
      </w:r>
    </w:p>
    <w:p w14:paraId="0DA8BC6C" w14:textId="5F587DF3" w:rsidR="00FE2830" w:rsidRDefault="00FE2830" w:rsidP="00FE2830">
      <w:pPr>
        <w:pStyle w:val="BodyText"/>
      </w:pPr>
      <w:r>
        <w:t>DE (IED) does not guarantee that students will successfully progress to the next year level or complete their course</w:t>
      </w:r>
      <w:r w:rsidR="00A8165C">
        <w:t xml:space="preserve">, but DE (IED) will ensure that a reasonable level of student support will be offered to assist students to achieve satisfactory course progress. </w:t>
      </w:r>
    </w:p>
    <w:p w14:paraId="1D51318F" w14:textId="60E4B44F" w:rsidR="00FE2830" w:rsidRDefault="00FE2830" w:rsidP="00FE2830">
      <w:pPr>
        <w:pStyle w:val="BodyText"/>
      </w:pPr>
      <w:r>
        <w:t>School reports will be provided to students and parents each school semester</w:t>
      </w:r>
      <w:r w:rsidR="00A71AD1">
        <w:t xml:space="preserve"> and are recorded on the school’s student file in accordance with the </w:t>
      </w:r>
      <w:hyperlink r:id="rId14" w:history="1">
        <w:r w:rsidR="00A71AD1" w:rsidRPr="003C2973">
          <w:rPr>
            <w:rStyle w:val="Hyperlink"/>
          </w:rPr>
          <w:t>ISP Record Keeping Procedural Guidelines</w:t>
        </w:r>
      </w:hyperlink>
      <w:r w:rsidR="00A71AD1">
        <w:t>.</w:t>
      </w:r>
    </w:p>
    <w:p w14:paraId="74894A9A" w14:textId="56F954EE" w:rsidR="002B0378" w:rsidRPr="002B0378" w:rsidRDefault="002B0378" w:rsidP="00B60A4B">
      <w:pPr>
        <w:pStyle w:val="BodyText"/>
        <w:keepLines/>
      </w:pPr>
      <w:r>
        <w:lastRenderedPageBreak/>
        <w:t xml:space="preserve">The table below outlines </w:t>
      </w:r>
      <w:r w:rsidR="00E35024">
        <w:t xml:space="preserve">the requirements for </w:t>
      </w:r>
      <w:r w:rsidR="003A01D7">
        <w:t>‘</w:t>
      </w:r>
      <w:r>
        <w:t>satisfactory</w:t>
      </w:r>
      <w:r w:rsidR="003A01D7">
        <w:t>’</w:t>
      </w:r>
      <w:r>
        <w:t xml:space="preserve"> course progress </w:t>
      </w:r>
      <w:r w:rsidR="00E35024">
        <w:t xml:space="preserve">in </w:t>
      </w:r>
      <w:r>
        <w:t xml:space="preserve">each DE course. Failure to meet these </w:t>
      </w:r>
      <w:r w:rsidR="00AB552B">
        <w:t xml:space="preserve">requirements </w:t>
      </w:r>
      <w:r>
        <w:t xml:space="preserve">in a school semester </w:t>
      </w:r>
      <w:r w:rsidR="00D945F9">
        <w:t xml:space="preserve">(study period) </w:t>
      </w:r>
      <w:r>
        <w:t xml:space="preserve">is a failure to meet course progress requirements and will trigger </w:t>
      </w:r>
      <w:r w:rsidR="001002B6">
        <w:t xml:space="preserve">DE (IED)’s reporting process, which may result in </w:t>
      </w:r>
      <w:r w:rsidR="00195273">
        <w:t xml:space="preserve">the cancellation of the student’s enrolment in the ISP and reporting to </w:t>
      </w:r>
      <w:r>
        <w:t xml:space="preserve">the Commonwealth </w:t>
      </w:r>
      <w:r w:rsidR="003A01D7">
        <w:t>G</w:t>
      </w:r>
      <w:r>
        <w:t>overnment</w:t>
      </w:r>
      <w:r w:rsidR="00FE4DF2">
        <w:t xml:space="preserve"> for a breach </w:t>
      </w:r>
      <w:r w:rsidR="002B49C0">
        <w:t xml:space="preserve">of </w:t>
      </w:r>
      <w:r w:rsidR="00FE4DF2">
        <w:t xml:space="preserve">the </w:t>
      </w:r>
      <w:r w:rsidR="00F36B7B">
        <w:t>student’s</w:t>
      </w:r>
      <w:r w:rsidR="00FE4DF2">
        <w:t xml:space="preserve"> visa conditions</w:t>
      </w:r>
      <w:r>
        <w:t>.</w:t>
      </w:r>
    </w:p>
    <w:tbl>
      <w:tblPr>
        <w:tblStyle w:val="TableGrid"/>
        <w:tblW w:w="5000" w:type="pct"/>
        <w:tblLook w:val="04A0" w:firstRow="1" w:lastRow="0" w:firstColumn="1" w:lastColumn="0" w:noHBand="0" w:noVBand="1"/>
      </w:tblPr>
      <w:tblGrid>
        <w:gridCol w:w="2547"/>
        <w:gridCol w:w="2410"/>
        <w:gridCol w:w="5493"/>
      </w:tblGrid>
      <w:tr w:rsidR="003A0044" w:rsidRPr="00437D5A" w14:paraId="6FCBE707" w14:textId="77777777" w:rsidTr="00561599">
        <w:tc>
          <w:tcPr>
            <w:tcW w:w="1219" w:type="pct"/>
            <w:tcBorders>
              <w:right w:val="single" w:sz="4" w:space="0" w:color="FFFFFF" w:themeColor="background1"/>
            </w:tcBorders>
            <w:shd w:val="clear" w:color="auto" w:fill="100249"/>
          </w:tcPr>
          <w:p w14:paraId="17630960" w14:textId="3F8EC9F6" w:rsidR="003A0044" w:rsidRPr="003E33A4" w:rsidRDefault="003A0044" w:rsidP="00A566B7">
            <w:pPr>
              <w:pStyle w:val="TableHeader1"/>
            </w:pPr>
            <w:r>
              <w:t>CRICOS Course Code</w:t>
            </w:r>
          </w:p>
        </w:tc>
        <w:tc>
          <w:tcPr>
            <w:tcW w:w="1153" w:type="pct"/>
            <w:tcBorders>
              <w:left w:val="single" w:sz="4" w:space="0" w:color="FFFFFF" w:themeColor="background1"/>
              <w:right w:val="single" w:sz="4" w:space="0" w:color="FFFFFF" w:themeColor="background1"/>
            </w:tcBorders>
            <w:shd w:val="clear" w:color="auto" w:fill="100249"/>
          </w:tcPr>
          <w:p w14:paraId="4D6B682A" w14:textId="466DFFC0" w:rsidR="003A0044" w:rsidRPr="00437D5A" w:rsidRDefault="003A0044" w:rsidP="00A566B7">
            <w:pPr>
              <w:pStyle w:val="TableHeader1"/>
            </w:pPr>
            <w:r>
              <w:t>Course Name</w:t>
            </w:r>
          </w:p>
        </w:tc>
        <w:tc>
          <w:tcPr>
            <w:tcW w:w="2628" w:type="pct"/>
            <w:tcBorders>
              <w:left w:val="single" w:sz="4" w:space="0" w:color="FFFFFF" w:themeColor="background1"/>
              <w:bottom w:val="single" w:sz="4" w:space="0" w:color="auto"/>
              <w:right w:val="single" w:sz="4" w:space="0" w:color="FFFFFF" w:themeColor="background1"/>
            </w:tcBorders>
            <w:shd w:val="clear" w:color="auto" w:fill="100249"/>
          </w:tcPr>
          <w:p w14:paraId="2C87E741" w14:textId="24F79762" w:rsidR="003A0044" w:rsidRPr="00437D5A" w:rsidRDefault="003A0044" w:rsidP="003A0044">
            <w:pPr>
              <w:pStyle w:val="TableHeader1"/>
            </w:pPr>
            <w:r>
              <w:t>Satisfactory course progress</w:t>
            </w:r>
          </w:p>
        </w:tc>
      </w:tr>
      <w:tr w:rsidR="003A0044" w14:paraId="0A5BF502" w14:textId="77777777" w:rsidTr="00561599">
        <w:tc>
          <w:tcPr>
            <w:tcW w:w="1219" w:type="pct"/>
          </w:tcPr>
          <w:p w14:paraId="244C2271" w14:textId="341DBD88" w:rsidR="003A0044" w:rsidRDefault="003A0044" w:rsidP="004A57B3">
            <w:pPr>
              <w:pStyle w:val="TableText"/>
            </w:pPr>
            <w:r>
              <w:t>019047G</w:t>
            </w:r>
          </w:p>
        </w:tc>
        <w:tc>
          <w:tcPr>
            <w:tcW w:w="1153" w:type="pct"/>
          </w:tcPr>
          <w:p w14:paraId="17D20F43" w14:textId="1EAE36D6" w:rsidR="003A0044" w:rsidRDefault="003A0044" w:rsidP="00B60A4B">
            <w:pPr>
              <w:pStyle w:val="TableText"/>
            </w:pPr>
            <w:r>
              <w:t>Primary (Prep to Year 6)</w:t>
            </w:r>
          </w:p>
        </w:tc>
        <w:tc>
          <w:tcPr>
            <w:tcW w:w="2628" w:type="pct"/>
          </w:tcPr>
          <w:p w14:paraId="5E7EE9F7" w14:textId="3DD0A582" w:rsidR="00561599" w:rsidRDefault="00561599" w:rsidP="00B60A4B">
            <w:pPr>
              <w:pStyle w:val="TableText"/>
            </w:pPr>
            <w:r>
              <w:t>Students in Prep –</w:t>
            </w:r>
            <w:r w:rsidR="00AB552B">
              <w:t xml:space="preserve"> Year</w:t>
            </w:r>
            <w:r>
              <w:t xml:space="preserve"> 5 should have satisfactory achievement or effort to progress to the next year level and complete their course.</w:t>
            </w:r>
          </w:p>
          <w:p w14:paraId="45E29A79" w14:textId="178A1D50" w:rsidR="00561599" w:rsidRDefault="00561599" w:rsidP="00B60A4B">
            <w:pPr>
              <w:pStyle w:val="TableText"/>
            </w:pPr>
            <w:r>
              <w:t xml:space="preserve">Prep – </w:t>
            </w:r>
            <w:r w:rsidR="00AB552B">
              <w:t xml:space="preserve">Year </w:t>
            </w:r>
            <w:r>
              <w:t>5, students who achieve at least:</w:t>
            </w:r>
          </w:p>
          <w:p w14:paraId="214CE375" w14:textId="363C20A7" w:rsidR="00561599" w:rsidRDefault="00561599" w:rsidP="00B60A4B">
            <w:pPr>
              <w:pStyle w:val="TableText"/>
              <w:numPr>
                <w:ilvl w:val="0"/>
                <w:numId w:val="21"/>
              </w:numPr>
            </w:pPr>
            <w:r>
              <w:t>pass/C/satisfactory (or equivalent</w:t>
            </w:r>
            <w:r w:rsidR="000953F4">
              <w:t xml:space="preserve">), </w:t>
            </w:r>
            <w:r>
              <w:t>or</w:t>
            </w:r>
          </w:p>
          <w:p w14:paraId="1DBECEA1" w14:textId="53F71716" w:rsidR="00561599" w:rsidRDefault="00561599" w:rsidP="00B60A4B">
            <w:pPr>
              <w:pStyle w:val="TableText"/>
              <w:numPr>
                <w:ilvl w:val="0"/>
                <w:numId w:val="21"/>
              </w:numPr>
            </w:pPr>
            <w:r>
              <w:t>"satisfactory" (or equivalent) for effort,</w:t>
            </w:r>
          </w:p>
          <w:p w14:paraId="5E76049A" w14:textId="7C8E52E8" w:rsidR="00561599" w:rsidRDefault="00561599" w:rsidP="00B60A4B">
            <w:pPr>
              <w:pStyle w:val="TableText"/>
            </w:pPr>
            <w:r>
              <w:t>in every subject attempted, will be considered to have achieved satisfactory course progress.</w:t>
            </w:r>
          </w:p>
          <w:p w14:paraId="15BDD9C7" w14:textId="1586B068" w:rsidR="00561599" w:rsidRDefault="00561599" w:rsidP="00B60A4B">
            <w:pPr>
              <w:pStyle w:val="TableText"/>
            </w:pPr>
            <w:r>
              <w:t>For Year 6, students must pass all subjects/areas studied to attain exit levels required to progress to high school.</w:t>
            </w:r>
          </w:p>
          <w:p w14:paraId="70A03861" w14:textId="3BBD799D" w:rsidR="003A0044" w:rsidRDefault="00561599" w:rsidP="00B60A4B">
            <w:pPr>
              <w:pStyle w:val="TableText"/>
            </w:pPr>
            <w:r>
              <w:t xml:space="preserve">If the student’s effort is at least </w:t>
            </w:r>
            <w:r w:rsidR="003A01D7">
              <w:t>‘</w:t>
            </w:r>
            <w:r>
              <w:t>satisfactory</w:t>
            </w:r>
            <w:r w:rsidR="003A01D7">
              <w:t>’</w:t>
            </w:r>
            <w:r>
              <w:t xml:space="preserve">, despite not passing all subjects/areas studied, DE (IED) may consider the student to have achieved </w:t>
            </w:r>
            <w:r w:rsidR="003A01D7">
              <w:t>‘</w:t>
            </w:r>
            <w:r>
              <w:t>satisfactory</w:t>
            </w:r>
            <w:r w:rsidR="003A01D7">
              <w:t>’</w:t>
            </w:r>
            <w:r>
              <w:t xml:space="preserve"> course progress*.</w:t>
            </w:r>
          </w:p>
        </w:tc>
      </w:tr>
      <w:tr w:rsidR="00561599" w14:paraId="29E3B35F" w14:textId="77777777" w:rsidTr="00561599">
        <w:tc>
          <w:tcPr>
            <w:tcW w:w="1219" w:type="pct"/>
          </w:tcPr>
          <w:p w14:paraId="6A8A5BCB" w14:textId="5CB52F60" w:rsidR="00561599" w:rsidRDefault="00561599" w:rsidP="004A57B3">
            <w:pPr>
              <w:pStyle w:val="TableText"/>
            </w:pPr>
            <w:r>
              <w:t>019048F</w:t>
            </w:r>
          </w:p>
        </w:tc>
        <w:tc>
          <w:tcPr>
            <w:tcW w:w="1153" w:type="pct"/>
          </w:tcPr>
          <w:p w14:paraId="58F077BA" w14:textId="0E1C89DB" w:rsidR="00561599" w:rsidRDefault="00561599" w:rsidP="00B60A4B">
            <w:pPr>
              <w:pStyle w:val="TableText"/>
            </w:pPr>
            <w:r>
              <w:t>Junior Secondary (Years 7-10)</w:t>
            </w:r>
          </w:p>
        </w:tc>
        <w:tc>
          <w:tcPr>
            <w:tcW w:w="2628" w:type="pct"/>
          </w:tcPr>
          <w:p w14:paraId="0F7E2686" w14:textId="58263947" w:rsidR="00561599" w:rsidRDefault="00561599" w:rsidP="00B60A4B">
            <w:pPr>
              <w:pStyle w:val="TableText"/>
            </w:pPr>
            <w:r>
              <w:t>A minimum overall achievement of pass/C/satisfactory (or equivalent) in every subject studied.</w:t>
            </w:r>
          </w:p>
          <w:p w14:paraId="27871B0D" w14:textId="6EEF58CB" w:rsidR="00561599" w:rsidRDefault="00561599" w:rsidP="00B60A4B">
            <w:pPr>
              <w:pStyle w:val="TableText"/>
            </w:pPr>
            <w:r>
              <w:t xml:space="preserve">If the student’s effort is at least </w:t>
            </w:r>
            <w:r w:rsidR="003A01D7">
              <w:t>‘</w:t>
            </w:r>
            <w:r>
              <w:t>satisfactory</w:t>
            </w:r>
            <w:r w:rsidR="003A01D7">
              <w:t>’</w:t>
            </w:r>
            <w:r>
              <w:t xml:space="preserve">, despite not passing all subjects/areas studied, DE (IED) may consider the student to have achieved </w:t>
            </w:r>
            <w:r w:rsidR="003A01D7">
              <w:t>‘</w:t>
            </w:r>
            <w:r>
              <w:t>satisfactory</w:t>
            </w:r>
            <w:r w:rsidR="003A01D7">
              <w:t>’</w:t>
            </w:r>
            <w:r>
              <w:t xml:space="preserve"> course progress*.</w:t>
            </w:r>
          </w:p>
          <w:p w14:paraId="1C2DF383" w14:textId="1D5533D0" w:rsidR="00561599" w:rsidRDefault="00681ED8" w:rsidP="00B60A4B">
            <w:pPr>
              <w:pStyle w:val="TableText"/>
            </w:pPr>
            <w:r>
              <w:t>I</w:t>
            </w:r>
            <w:r w:rsidR="00561599">
              <w:t xml:space="preserve">f after </w:t>
            </w:r>
            <w:r w:rsidR="00AB552B">
              <w:t xml:space="preserve">commencing </w:t>
            </w:r>
            <w:r w:rsidR="003715D2">
              <w:t xml:space="preserve">the course at the </w:t>
            </w:r>
            <w:r w:rsidR="00B43315">
              <w:t>school,</w:t>
            </w:r>
            <w:r w:rsidR="003715D2">
              <w:t xml:space="preserve"> </w:t>
            </w:r>
            <w:r w:rsidR="00561599">
              <w:t>it becomes clear that</w:t>
            </w:r>
            <w:r>
              <w:t xml:space="preserve"> </w:t>
            </w:r>
            <w:r w:rsidR="00561599">
              <w:t xml:space="preserve">a student </w:t>
            </w:r>
            <w:r>
              <w:t xml:space="preserve">requires additional support to meet the course requirements the school may provide </w:t>
            </w:r>
            <w:r w:rsidR="00561599">
              <w:t xml:space="preserve">the student </w:t>
            </w:r>
            <w:r w:rsidR="00C80932">
              <w:t>with additional English language tuition or academic counselling and support</w:t>
            </w:r>
            <w:r w:rsidR="00A421FA">
              <w:t xml:space="preserve"> (at the student’s expense)</w:t>
            </w:r>
            <w:r w:rsidR="00C80932">
              <w:t xml:space="preserve"> </w:t>
            </w:r>
            <w:r w:rsidR="00561599">
              <w:t xml:space="preserve">prior to </w:t>
            </w:r>
            <w:r w:rsidR="003715D2">
              <w:t>re</w:t>
            </w:r>
            <w:r w:rsidR="008F56A6">
              <w:t>commencing at the school</w:t>
            </w:r>
            <w:r w:rsidR="00561599">
              <w:t>.</w:t>
            </w:r>
            <w:r w:rsidR="003C7044">
              <w:t xml:space="preserve"> For example, students may be </w:t>
            </w:r>
            <w:r>
              <w:t xml:space="preserve">advised </w:t>
            </w:r>
            <w:r w:rsidR="003C7044">
              <w:t xml:space="preserve">to undertake studies at an </w:t>
            </w:r>
            <w:hyperlink r:id="rId15" w:history="1">
              <w:r w:rsidR="003C7044" w:rsidRPr="00A70674">
                <w:rPr>
                  <w:rStyle w:val="Hyperlink"/>
                </w:rPr>
                <w:t>English Language Centre</w:t>
              </w:r>
            </w:hyperlink>
            <w:r w:rsidR="003C7044">
              <w:t xml:space="preserve"> for a period of </w:t>
            </w:r>
            <w:r w:rsidR="00787C4B">
              <w:t>one to two semesters</w:t>
            </w:r>
            <w:r w:rsidR="003C7044">
              <w:t>.</w:t>
            </w:r>
          </w:p>
        </w:tc>
      </w:tr>
      <w:tr w:rsidR="00561599" w14:paraId="5D504E14" w14:textId="77777777" w:rsidTr="00561599">
        <w:tc>
          <w:tcPr>
            <w:tcW w:w="1219" w:type="pct"/>
          </w:tcPr>
          <w:p w14:paraId="74AF03EE" w14:textId="6BF3DBDF" w:rsidR="00561599" w:rsidRDefault="00561599" w:rsidP="004A57B3">
            <w:pPr>
              <w:pStyle w:val="TableText"/>
            </w:pPr>
            <w:r>
              <w:t>019048F</w:t>
            </w:r>
          </w:p>
        </w:tc>
        <w:tc>
          <w:tcPr>
            <w:tcW w:w="1153" w:type="pct"/>
          </w:tcPr>
          <w:p w14:paraId="7936C9FA" w14:textId="60C33C28" w:rsidR="00561599" w:rsidRDefault="00561599" w:rsidP="00B60A4B">
            <w:pPr>
              <w:pStyle w:val="TableText"/>
            </w:pPr>
            <w:r>
              <w:t>Senior Secondary (Years 11-12)</w:t>
            </w:r>
          </w:p>
        </w:tc>
        <w:tc>
          <w:tcPr>
            <w:tcW w:w="2628" w:type="pct"/>
          </w:tcPr>
          <w:p w14:paraId="1EAAC1C7" w14:textId="4E296182" w:rsidR="00561599" w:rsidRDefault="00561599" w:rsidP="00B60A4B">
            <w:pPr>
              <w:pStyle w:val="TableText"/>
            </w:pPr>
            <w:r>
              <w:t>A minimum overall achievement of pass/C/Satisfactory (or equivalent) in every subject studied.</w:t>
            </w:r>
          </w:p>
          <w:p w14:paraId="191E3FFD" w14:textId="6F2E5F00" w:rsidR="00561599" w:rsidRDefault="00561599" w:rsidP="00B60A4B">
            <w:pPr>
              <w:pStyle w:val="TableText"/>
            </w:pPr>
            <w:r>
              <w:t xml:space="preserve">If the student’s effort is at least </w:t>
            </w:r>
            <w:r w:rsidR="003A01D7">
              <w:t>‘</w:t>
            </w:r>
            <w:r>
              <w:t>satisfactory</w:t>
            </w:r>
            <w:r w:rsidR="003A01D7">
              <w:t>’</w:t>
            </w:r>
            <w:r>
              <w:t xml:space="preserve">, despite not passing all subjects/areas studied, DE (IED) may consider the student to have achieved </w:t>
            </w:r>
            <w:r w:rsidR="003A01D7">
              <w:t>’</w:t>
            </w:r>
            <w:r>
              <w:t>satisfactory</w:t>
            </w:r>
            <w:r w:rsidR="003A01D7">
              <w:t>’</w:t>
            </w:r>
            <w:r>
              <w:t xml:space="preserve"> course progress*.</w:t>
            </w:r>
          </w:p>
          <w:p w14:paraId="45EF7A39" w14:textId="122474B3" w:rsidR="00561599" w:rsidRDefault="003715D2" w:rsidP="00B60A4B">
            <w:pPr>
              <w:pStyle w:val="TableText"/>
            </w:pPr>
            <w:r>
              <w:t xml:space="preserve">If after commencing the course at the </w:t>
            </w:r>
            <w:r w:rsidR="002F02D5">
              <w:t>school,</w:t>
            </w:r>
            <w:r>
              <w:t xml:space="preserve"> it becomes clear that a student requires additional support to meet the course requirements the school may provide the student with additional English language tuition or academic counselling and support </w:t>
            </w:r>
            <w:r w:rsidR="00A421FA">
              <w:t xml:space="preserve">(at the student’s expense) </w:t>
            </w:r>
            <w:r>
              <w:t xml:space="preserve">prior to recommencing at the school. For example, students may be advised to undertake studies at an </w:t>
            </w:r>
            <w:hyperlink r:id="rId16" w:history="1">
              <w:r w:rsidRPr="00897E7C">
                <w:rPr>
                  <w:rStyle w:val="Hyperlink"/>
                </w:rPr>
                <w:t>English Language Centre</w:t>
              </w:r>
            </w:hyperlink>
            <w:r>
              <w:t xml:space="preserve"> for a period of one to two semesters.</w:t>
            </w:r>
          </w:p>
        </w:tc>
      </w:tr>
      <w:tr w:rsidR="00561599" w14:paraId="14BB6610" w14:textId="77777777" w:rsidTr="00561599">
        <w:tc>
          <w:tcPr>
            <w:tcW w:w="1219" w:type="pct"/>
          </w:tcPr>
          <w:p w14:paraId="2D2DA454" w14:textId="55D41C07" w:rsidR="00561599" w:rsidRDefault="00561599" w:rsidP="004A57B3">
            <w:pPr>
              <w:pStyle w:val="TableText"/>
            </w:pPr>
            <w:r>
              <w:t>028651A</w:t>
            </w:r>
          </w:p>
        </w:tc>
        <w:tc>
          <w:tcPr>
            <w:tcW w:w="1153" w:type="pct"/>
          </w:tcPr>
          <w:p w14:paraId="4B05EB7A" w14:textId="3AA470C8" w:rsidR="00561599" w:rsidRPr="00692C5A" w:rsidRDefault="00561599" w:rsidP="00B60A4B">
            <w:pPr>
              <w:pStyle w:val="TableText"/>
              <w:rPr>
                <w:highlight w:val="yellow"/>
              </w:rPr>
            </w:pPr>
            <w:r w:rsidRPr="00C534C0">
              <w:t>Victorian College of the Arts Secondary Course (7-12)</w:t>
            </w:r>
          </w:p>
        </w:tc>
        <w:tc>
          <w:tcPr>
            <w:tcW w:w="2628" w:type="pct"/>
          </w:tcPr>
          <w:p w14:paraId="031B99CF" w14:textId="77777777" w:rsidR="001A1E2E" w:rsidRDefault="001A1E2E" w:rsidP="00B60A4B">
            <w:pPr>
              <w:pStyle w:val="TableText"/>
            </w:pPr>
            <w:r>
              <w:t>A minimum overall achievement of pass/C/Satisfactory (or equivalent) in every subject studied.</w:t>
            </w:r>
          </w:p>
          <w:p w14:paraId="54E85252" w14:textId="60FF7B8F" w:rsidR="001A1E2E" w:rsidRDefault="001A1E2E" w:rsidP="00B60A4B">
            <w:pPr>
              <w:pStyle w:val="TableText"/>
            </w:pPr>
            <w:r>
              <w:t xml:space="preserve">If the student’s effort is at least </w:t>
            </w:r>
            <w:r w:rsidR="003A01D7">
              <w:t>‘</w:t>
            </w:r>
            <w:r>
              <w:t>satisfactory</w:t>
            </w:r>
            <w:r w:rsidR="003A01D7">
              <w:t>’</w:t>
            </w:r>
            <w:r>
              <w:t xml:space="preserve">, despite not passing all subjects/areas studied, DE (IED) may consider the student to have achieved </w:t>
            </w:r>
            <w:r w:rsidR="003A01D7">
              <w:t>‘</w:t>
            </w:r>
            <w:r>
              <w:t>satisfactory</w:t>
            </w:r>
            <w:r w:rsidR="003A01D7">
              <w:t>’</w:t>
            </w:r>
            <w:r>
              <w:t xml:space="preserve"> course progress*.</w:t>
            </w:r>
          </w:p>
          <w:p w14:paraId="3D2793AB" w14:textId="434B5C7A" w:rsidR="00561599" w:rsidRDefault="003715D2" w:rsidP="00B60A4B">
            <w:pPr>
              <w:pStyle w:val="TableText"/>
            </w:pPr>
            <w:r>
              <w:t xml:space="preserve">If after commencing the course at the </w:t>
            </w:r>
            <w:r w:rsidR="004573A6">
              <w:t>school,</w:t>
            </w:r>
            <w:r>
              <w:t xml:space="preserve"> it becomes clear that a student requires additional support to meet the course requirements the school may provide the student with additional English language tuition or academic counselling and support </w:t>
            </w:r>
            <w:r w:rsidR="00A421FA">
              <w:t xml:space="preserve">(at the student’s expense) </w:t>
            </w:r>
            <w:r>
              <w:t xml:space="preserve">prior to recommencing at the school. For example, students may be advised to undertake studies at an </w:t>
            </w:r>
            <w:hyperlink r:id="rId17" w:history="1">
              <w:r w:rsidRPr="007C09DE">
                <w:rPr>
                  <w:rStyle w:val="Hyperlink"/>
                </w:rPr>
                <w:t>English Language Centre</w:t>
              </w:r>
            </w:hyperlink>
            <w:r>
              <w:t xml:space="preserve"> for a period of one to two semesters.</w:t>
            </w:r>
          </w:p>
        </w:tc>
      </w:tr>
    </w:tbl>
    <w:p w14:paraId="590C7EF4" w14:textId="77777777" w:rsidR="00561599" w:rsidRPr="00FE2830" w:rsidRDefault="00561599" w:rsidP="00E60FAE">
      <w:pPr>
        <w:pStyle w:val="BodyText"/>
        <w:keepNext/>
      </w:pPr>
      <w:r w:rsidRPr="00FE2830">
        <w:lastRenderedPageBreak/>
        <w:t>*To ensure consistent and defensible decisions are made, school principals can consider if a student has:</w:t>
      </w:r>
    </w:p>
    <w:p w14:paraId="4F6F4370" w14:textId="2190F5E8" w:rsidR="00561599" w:rsidRPr="00FE2830" w:rsidRDefault="00561599" w:rsidP="00A6492E">
      <w:pPr>
        <w:pStyle w:val="ListBullet"/>
      </w:pPr>
      <w:r w:rsidRPr="00FE2830">
        <w:t>met assessment deadlines</w:t>
      </w:r>
    </w:p>
    <w:p w14:paraId="19E059F7" w14:textId="53439561" w:rsidR="003A0044" w:rsidRPr="00FE2830" w:rsidRDefault="00561599" w:rsidP="00A6492E">
      <w:pPr>
        <w:pStyle w:val="ListBullet"/>
      </w:pPr>
      <w:r w:rsidRPr="00FE2830">
        <w:t>actively participated in class</w:t>
      </w:r>
    </w:p>
    <w:p w14:paraId="0B9914C5" w14:textId="070E2511" w:rsidR="00561599" w:rsidRPr="00FE2830" w:rsidRDefault="00561599" w:rsidP="00A6492E">
      <w:pPr>
        <w:pStyle w:val="ListBullet"/>
      </w:pPr>
      <w:r w:rsidRPr="00FE2830">
        <w:t>shown self-discipline and a dedicated approach to learning</w:t>
      </w:r>
    </w:p>
    <w:p w14:paraId="49E3D441" w14:textId="06488C00" w:rsidR="00561599" w:rsidRPr="00FE2830" w:rsidRDefault="00561599" w:rsidP="00561599">
      <w:pPr>
        <w:pStyle w:val="BodyText"/>
      </w:pPr>
      <w:r w:rsidRPr="00FE2830">
        <w:t xml:space="preserve">in making a decision about whether the student’s effort should be considered when assessing if the student has achieved </w:t>
      </w:r>
      <w:r w:rsidR="003A01D7">
        <w:t>‘</w:t>
      </w:r>
      <w:r w:rsidRPr="00FE2830">
        <w:t>satisfactory</w:t>
      </w:r>
      <w:r w:rsidR="003A01D7">
        <w:t>’</w:t>
      </w:r>
      <w:r w:rsidRPr="00FE2830">
        <w:t xml:space="preserve"> course progress.</w:t>
      </w:r>
    </w:p>
    <w:p w14:paraId="69267B1D" w14:textId="59E3C5E9" w:rsidR="002B0378" w:rsidRDefault="002B0378" w:rsidP="006B7EDB">
      <w:pPr>
        <w:pStyle w:val="Heading3"/>
      </w:pPr>
      <w:r>
        <w:t>Monitoring</w:t>
      </w:r>
      <w:r w:rsidR="00DE4402">
        <w:t>, early intervention</w:t>
      </w:r>
      <w:r w:rsidR="00BD00B3">
        <w:t xml:space="preserve"> and support</w:t>
      </w:r>
      <w:r w:rsidR="00DE4402">
        <w:t>, assessment and reporting</w:t>
      </w:r>
    </w:p>
    <w:p w14:paraId="5D8B8444" w14:textId="093E6444" w:rsidR="00F35531" w:rsidRDefault="002B0378" w:rsidP="002B0378">
      <w:pPr>
        <w:pStyle w:val="BodyText"/>
      </w:pPr>
      <w:r w:rsidRPr="003A0044">
        <w:t>School staff</w:t>
      </w:r>
      <w:r>
        <w:t xml:space="preserve"> regularly</w:t>
      </w:r>
      <w:r w:rsidR="003D1DF6">
        <w:t xml:space="preserve"> monitor student</w:t>
      </w:r>
      <w:r w:rsidR="00F35531">
        <w:t xml:space="preserve"> progress</w:t>
      </w:r>
      <w:r w:rsidR="00BB4B96">
        <w:t>, through considering student assessment outcomes and liaising with relevant school staff</w:t>
      </w:r>
      <w:r w:rsidR="00F35531">
        <w:t>.</w:t>
      </w:r>
    </w:p>
    <w:p w14:paraId="340DFC36" w14:textId="443400D4" w:rsidR="00DE4402" w:rsidRDefault="00DE4402" w:rsidP="00DE4402">
      <w:pPr>
        <w:pStyle w:val="BodyText"/>
      </w:pPr>
      <w:r>
        <w:t xml:space="preserve">The monitoring and reporting requirements and intervention strategies for students in a DE </w:t>
      </w:r>
      <w:r w:rsidR="003D1DF6">
        <w:t xml:space="preserve">(IED) </w:t>
      </w:r>
      <w:r>
        <w:t xml:space="preserve">course </w:t>
      </w:r>
      <w:r w:rsidR="00BB4B96">
        <w:t xml:space="preserve">are </w:t>
      </w:r>
      <w:r>
        <w:t>different to the requirements for other Victorian government school students because:</w:t>
      </w:r>
    </w:p>
    <w:p w14:paraId="17916748" w14:textId="1DA8B0A6" w:rsidR="00DE4402" w:rsidRDefault="00DE4402" w:rsidP="00DE4402">
      <w:pPr>
        <w:pStyle w:val="ListBullet"/>
      </w:pPr>
      <w:r>
        <w:t>maintaining satisfactory course progress is a student visa condition</w:t>
      </w:r>
      <w:r w:rsidR="00FB6E0A">
        <w:t xml:space="preserve"> (8202)</w:t>
      </w:r>
    </w:p>
    <w:p w14:paraId="4033E975" w14:textId="1A10A3BA" w:rsidR="00DE4402" w:rsidRDefault="00DE4402" w:rsidP="00DE4402">
      <w:pPr>
        <w:pStyle w:val="ListBullet"/>
      </w:pPr>
      <w:r>
        <w:t>Commonwealth law requires DE (IED) to be proactive in identifying, notifying and assisting students who are at risk of failing to meet course progress requirements</w:t>
      </w:r>
    </w:p>
    <w:p w14:paraId="228FFF1A" w14:textId="0B65E0D4" w:rsidR="00DE4402" w:rsidRDefault="00DE4402" w:rsidP="00DE4402">
      <w:pPr>
        <w:pStyle w:val="ListBullet"/>
      </w:pPr>
      <w:r>
        <w:t>DE (IED) is required by law to report students who have failed to meet course progress requirements.</w:t>
      </w:r>
    </w:p>
    <w:p w14:paraId="093A5ADF" w14:textId="58527BAE" w:rsidR="00DE4402" w:rsidRDefault="00DE4402" w:rsidP="00DE4402">
      <w:pPr>
        <w:pStyle w:val="BodyText"/>
      </w:pPr>
      <w:r>
        <w:t xml:space="preserve">The </w:t>
      </w:r>
      <w:hyperlink r:id="rId18" w:history="1">
        <w:r w:rsidR="003C2973" w:rsidRPr="001D5AD3">
          <w:rPr>
            <w:rStyle w:val="Hyperlink"/>
          </w:rPr>
          <w:t>ISP Course Progress Procedure</w:t>
        </w:r>
      </w:hyperlink>
      <w:r>
        <w:t xml:space="preserve"> details how schools will monitor course progress each school semester. Schools work collaboratively with students to develop and implement tailored early intervention strategies to support students to meet course progress requirements.</w:t>
      </w:r>
    </w:p>
    <w:p w14:paraId="0334531D" w14:textId="03F33A67" w:rsidR="0043299A" w:rsidRDefault="00E90784" w:rsidP="00DE4402">
      <w:pPr>
        <w:pStyle w:val="BodyText"/>
      </w:pPr>
      <w:r w:rsidRPr="00495729">
        <w:t xml:space="preserve">Schools are responsible for monitoring course progress of students who conduct part of their studies with another </w:t>
      </w:r>
      <w:r w:rsidR="00E0314A">
        <w:t xml:space="preserve">Victorian government school, such as the Victorian School of Languages or Virtual School Victoria, or with a </w:t>
      </w:r>
      <w:r w:rsidR="00F94AB1">
        <w:t xml:space="preserve">DE-approved </w:t>
      </w:r>
      <w:r w:rsidR="00ED17CD">
        <w:t xml:space="preserve">third-party education </w:t>
      </w:r>
      <w:r w:rsidRPr="00495729">
        <w:t xml:space="preserve">provider. Please refer to the </w:t>
      </w:r>
      <w:hyperlink r:id="rId19" w:history="1">
        <w:r w:rsidR="00D838A2" w:rsidRPr="00174057">
          <w:rPr>
            <w:rStyle w:val="Hyperlink"/>
          </w:rPr>
          <w:t>ISP Community Language School Policy</w:t>
        </w:r>
      </w:hyperlink>
      <w:r w:rsidR="00D838A2" w:rsidRPr="00174057">
        <w:t xml:space="preserve"> and the </w:t>
      </w:r>
      <w:hyperlink r:id="rId20" w:history="1">
        <w:r w:rsidR="00D838A2" w:rsidRPr="0000511A">
          <w:rPr>
            <w:rStyle w:val="Hyperlink"/>
          </w:rPr>
          <w:t>ISP VET Policy</w:t>
        </w:r>
      </w:hyperlink>
      <w:r w:rsidRPr="00495729">
        <w:t xml:space="preserve"> for further information.</w:t>
      </w:r>
    </w:p>
    <w:p w14:paraId="366B9FE6" w14:textId="23C9752A" w:rsidR="00A71AD1" w:rsidRDefault="00A71AD1" w:rsidP="00A71AD1">
      <w:pPr>
        <w:pStyle w:val="Heading4"/>
      </w:pPr>
      <w:r>
        <w:t>Intervention and support</w:t>
      </w:r>
    </w:p>
    <w:p w14:paraId="09EE9F73" w14:textId="77777777" w:rsidR="00A71AD1" w:rsidRDefault="00A71AD1" w:rsidP="00A71AD1">
      <w:r>
        <w:t xml:space="preserve">Schools </w:t>
      </w:r>
      <w:r w:rsidRPr="00B60A4B">
        <w:rPr>
          <w:bCs/>
        </w:rPr>
        <w:t>must</w:t>
      </w:r>
      <w:r>
        <w:t xml:space="preserve"> develop and implement strategies to:</w:t>
      </w:r>
    </w:p>
    <w:p w14:paraId="2267AB83" w14:textId="1A0AE632" w:rsidR="00A71AD1" w:rsidRPr="007B2E60" w:rsidRDefault="00A71AD1" w:rsidP="00A71AD1">
      <w:pPr>
        <w:pStyle w:val="ListBullet"/>
      </w:pPr>
      <w:r w:rsidRPr="007B2E60">
        <w:t xml:space="preserve">inform students </w:t>
      </w:r>
      <w:r w:rsidR="00FB6E0A">
        <w:t xml:space="preserve">and parents </w:t>
      </w:r>
      <w:r>
        <w:t xml:space="preserve">of course progress </w:t>
      </w:r>
      <w:r w:rsidRPr="007B2E60">
        <w:t>requirements</w:t>
      </w:r>
    </w:p>
    <w:p w14:paraId="7E2B84EC" w14:textId="2DCDB260" w:rsidR="00A71AD1" w:rsidRPr="007B2E60" w:rsidRDefault="00364F87" w:rsidP="00A71AD1">
      <w:pPr>
        <w:pStyle w:val="ListBullet"/>
      </w:pPr>
      <w:r>
        <w:t xml:space="preserve">offer </w:t>
      </w:r>
      <w:r w:rsidR="00A71AD1" w:rsidRPr="007B2E60">
        <w:t xml:space="preserve">support </w:t>
      </w:r>
      <w:r>
        <w:t xml:space="preserve">to </w:t>
      </w:r>
      <w:r w:rsidR="00A71AD1" w:rsidRPr="007B2E60">
        <w:t xml:space="preserve">students </w:t>
      </w:r>
      <w:r w:rsidR="003A01D7">
        <w:t xml:space="preserve">to </w:t>
      </w:r>
      <w:r w:rsidR="009D4BD3">
        <w:t xml:space="preserve">meet </w:t>
      </w:r>
      <w:r w:rsidR="00A71AD1">
        <w:t>satisfactory course progress</w:t>
      </w:r>
    </w:p>
    <w:p w14:paraId="669744BF" w14:textId="3418806E" w:rsidR="00A71AD1" w:rsidRPr="007B2E60" w:rsidRDefault="00A71AD1" w:rsidP="00A71AD1">
      <w:pPr>
        <w:pStyle w:val="ListBullet"/>
      </w:pPr>
      <w:r w:rsidRPr="007B2E60">
        <w:t xml:space="preserve">assist students who are at risk of not meeting </w:t>
      </w:r>
      <w:r>
        <w:t>satisfactory course</w:t>
      </w:r>
      <w:r w:rsidRPr="007B2E60">
        <w:t xml:space="preserve"> </w:t>
      </w:r>
      <w:r>
        <w:t>progress</w:t>
      </w:r>
      <w:r w:rsidRPr="007B2E60">
        <w:t>.</w:t>
      </w:r>
    </w:p>
    <w:p w14:paraId="0E681014" w14:textId="4740CD03" w:rsidR="00BF2E4C" w:rsidRDefault="00BF2E4C" w:rsidP="009236E9">
      <w:pPr>
        <w:pStyle w:val="BodyText"/>
      </w:pPr>
      <w:r>
        <w:t>DE (IED) provides students will two levels of support to assist the student with maintaining satisfactory course progress. These are:</w:t>
      </w:r>
    </w:p>
    <w:p w14:paraId="493D83DD" w14:textId="7881F854" w:rsidR="00BF2E4C" w:rsidRDefault="00BF2E4C" w:rsidP="00BF2E4C">
      <w:pPr>
        <w:pStyle w:val="ListBullet"/>
        <w:numPr>
          <w:ilvl w:val="0"/>
          <w:numId w:val="17"/>
        </w:numPr>
      </w:pPr>
      <w:r w:rsidRPr="009236E9">
        <w:rPr>
          <w:u w:val="single"/>
        </w:rPr>
        <w:t>‘Early Intervention’</w:t>
      </w:r>
      <w:r>
        <w:t>: intervention strategies issued by schools</w:t>
      </w:r>
    </w:p>
    <w:p w14:paraId="57F8A2C1" w14:textId="1C05D883" w:rsidR="00BF2E4C" w:rsidRDefault="00BF2E4C" w:rsidP="00BF2E4C">
      <w:pPr>
        <w:pStyle w:val="ListBullet"/>
        <w:numPr>
          <w:ilvl w:val="0"/>
          <w:numId w:val="17"/>
        </w:numPr>
      </w:pPr>
      <w:r w:rsidRPr="009236E9">
        <w:rPr>
          <w:u w:val="single"/>
        </w:rPr>
        <w:t>‘At-risk’</w:t>
      </w:r>
      <w:r>
        <w:t>: compliance contract and final intervention strategies issued by schools. Schools provide compliance, intervention strategies, and other relevant supporting evidence to DE (IED).</w:t>
      </w:r>
    </w:p>
    <w:p w14:paraId="207A0B9F" w14:textId="7B638390" w:rsidR="00D518CC" w:rsidRDefault="00D518CC" w:rsidP="009236E9">
      <w:pPr>
        <w:pStyle w:val="BodyText"/>
      </w:pPr>
      <w:r>
        <w:t>Schools determine when a student requires early intervention strategies and when a student is at-risk of unsatisfactory course progress</w:t>
      </w:r>
      <w:r w:rsidR="00392F68">
        <w:t>.</w:t>
      </w:r>
      <w:r w:rsidR="00153A2C">
        <w:t xml:space="preserve"> Schools must inform students (for example, during orientation) when </w:t>
      </w:r>
      <w:r w:rsidR="004A0303">
        <w:t xml:space="preserve">early intervention strategies will be initiated and when </w:t>
      </w:r>
      <w:r w:rsidR="00153A2C">
        <w:t xml:space="preserve">a student </w:t>
      </w:r>
      <w:r w:rsidR="004A0303">
        <w:t xml:space="preserve">will be </w:t>
      </w:r>
      <w:r w:rsidR="00153A2C">
        <w:t xml:space="preserve">deemed to be ‘at-risk’ of unsatisfactory course </w:t>
      </w:r>
      <w:r w:rsidR="00A5025A">
        <w:t>progress</w:t>
      </w:r>
      <w:r w:rsidR="00153A2C">
        <w:t xml:space="preserve">. </w:t>
      </w:r>
    </w:p>
    <w:p w14:paraId="7374DD39" w14:textId="5B5F7C7A" w:rsidR="00C43B95" w:rsidRDefault="002B0378" w:rsidP="002B0378">
      <w:pPr>
        <w:pStyle w:val="BodyText"/>
      </w:pPr>
      <w:r w:rsidRPr="003A0044">
        <w:t xml:space="preserve">Where a student </w:t>
      </w:r>
      <w:r w:rsidR="00DE4402" w:rsidRPr="00495729">
        <w:t xml:space="preserve">is </w:t>
      </w:r>
      <w:r w:rsidR="00BF2E4C">
        <w:t xml:space="preserve">showing signs of </w:t>
      </w:r>
      <w:r w:rsidR="00DE4402" w:rsidRPr="00495729">
        <w:t xml:space="preserve">not </w:t>
      </w:r>
      <w:r w:rsidR="00BF2E4C">
        <w:t xml:space="preserve">being </w:t>
      </w:r>
      <w:r w:rsidR="00DE4402" w:rsidRPr="00495729">
        <w:t>on track to achieve satisfactory course progress</w:t>
      </w:r>
      <w:r w:rsidRPr="004479F6">
        <w:t xml:space="preserve">, school staff notify the student and their parents and </w:t>
      </w:r>
      <w:r w:rsidRPr="00495729">
        <w:t xml:space="preserve">develop and implement appropriate </w:t>
      </w:r>
      <w:r w:rsidRPr="009236E9">
        <w:rPr>
          <w:b/>
        </w:rPr>
        <w:t>intervention strategies</w:t>
      </w:r>
      <w:r w:rsidRPr="003A0044">
        <w:t xml:space="preserve"> to improve the student’s academic performance. </w:t>
      </w:r>
      <w:r w:rsidR="001668BA">
        <w:t xml:space="preserve">This may include a </w:t>
      </w:r>
      <w:r w:rsidR="00BF2E4C">
        <w:t>recommendation to temporarily</w:t>
      </w:r>
      <w:r w:rsidR="00FB069F">
        <w:t xml:space="preserve"> suspend</w:t>
      </w:r>
      <w:r w:rsidR="001668BA">
        <w:t xml:space="preserve"> </w:t>
      </w:r>
      <w:r w:rsidR="00BF2E4C">
        <w:t xml:space="preserve">the student’s </w:t>
      </w:r>
      <w:r w:rsidR="001668BA">
        <w:t>enrolment</w:t>
      </w:r>
      <w:r w:rsidR="00BF2E4C">
        <w:t xml:space="preserve"> in accordance with the </w:t>
      </w:r>
      <w:hyperlink r:id="rId21" w:history="1">
        <w:r w:rsidR="00BF2E4C" w:rsidRPr="000D7790">
          <w:rPr>
            <w:rStyle w:val="Hyperlink"/>
          </w:rPr>
          <w:t>ISP Student-</w:t>
        </w:r>
        <w:r w:rsidR="003A01D7" w:rsidRPr="000D7790">
          <w:rPr>
            <w:rStyle w:val="Hyperlink"/>
          </w:rPr>
          <w:t>I</w:t>
        </w:r>
        <w:r w:rsidR="00BF2E4C" w:rsidRPr="000D7790">
          <w:rPr>
            <w:rStyle w:val="Hyperlink"/>
          </w:rPr>
          <w:t>nitiated Deferrals, Suspensions and Cancellations Policy</w:t>
        </w:r>
      </w:hyperlink>
      <w:r w:rsidR="00BF2E4C">
        <w:t>.</w:t>
      </w:r>
      <w:r w:rsidR="001668BA">
        <w:t xml:space="preserve"> When enrolment is temporarily suspended, students are not assessed; assessment recommences when the student resumes study at school. </w:t>
      </w:r>
    </w:p>
    <w:p w14:paraId="215ACA6E" w14:textId="724C322B" w:rsidR="002B0378" w:rsidRDefault="002B0378" w:rsidP="002B0378">
      <w:pPr>
        <w:pStyle w:val="BodyText"/>
      </w:pPr>
      <w:r>
        <w:t xml:space="preserve">Schools will notify DE (IED) if a student’s academic performance does not improve </w:t>
      </w:r>
      <w:r w:rsidR="00C43B95">
        <w:t xml:space="preserve">and is </w:t>
      </w:r>
      <w:r w:rsidR="00C43B95" w:rsidRPr="00B60A4B">
        <w:rPr>
          <w:b/>
          <w:iCs/>
        </w:rPr>
        <w:t>‘at</w:t>
      </w:r>
      <w:r w:rsidR="003A01D7" w:rsidRPr="00B60A4B">
        <w:rPr>
          <w:b/>
          <w:iCs/>
        </w:rPr>
        <w:t>-</w:t>
      </w:r>
      <w:r w:rsidR="00C43B95" w:rsidRPr="00B60A4B">
        <w:rPr>
          <w:b/>
          <w:iCs/>
        </w:rPr>
        <w:t>risk’</w:t>
      </w:r>
      <w:r w:rsidR="00C43B95">
        <w:t xml:space="preserve"> of not achieving satisfactory course progress. </w:t>
      </w:r>
      <w:r w:rsidR="00A01E3C">
        <w:t xml:space="preserve">A student is deemed ‘at-risk’ when they are on track to </w:t>
      </w:r>
      <w:r w:rsidR="00A01E3C" w:rsidRPr="009236E9">
        <w:rPr>
          <w:u w:val="single"/>
        </w:rPr>
        <w:t>NOT</w:t>
      </w:r>
      <w:r w:rsidR="00A01E3C">
        <w:t xml:space="preserve"> meet the required standard for satisfactory course </w:t>
      </w:r>
      <w:r w:rsidR="00996738">
        <w:t>progress,</w:t>
      </w:r>
      <w:r w:rsidR="00A01E3C">
        <w:t xml:space="preserve"> or their </w:t>
      </w:r>
      <w:r w:rsidR="00A01E3C">
        <w:rPr>
          <w:rStyle w:val="BodyTextChar"/>
        </w:rPr>
        <w:t xml:space="preserve">course progress </w:t>
      </w:r>
      <w:r w:rsidR="00A01E3C">
        <w:t xml:space="preserve">has not improved under </w:t>
      </w:r>
      <w:r w:rsidR="00A01E3C" w:rsidRPr="00004A9C">
        <w:t xml:space="preserve">the </w:t>
      </w:r>
      <w:r w:rsidR="00A01E3C" w:rsidRPr="0010643E">
        <w:t>intervention strategy</w:t>
      </w:r>
      <w:r w:rsidR="00A01E3C">
        <w:t xml:space="preserve">. </w:t>
      </w:r>
      <w:r w:rsidR="00C43B95">
        <w:t xml:space="preserve">Schools will place the student </w:t>
      </w:r>
      <w:r>
        <w:t xml:space="preserve">on a </w:t>
      </w:r>
      <w:r w:rsidR="00C43B95" w:rsidRPr="009236E9">
        <w:rPr>
          <w:b/>
        </w:rPr>
        <w:t>compliance contract</w:t>
      </w:r>
      <w:r w:rsidR="00C43B95">
        <w:t xml:space="preserve"> which contains appropriate intervention strategies. The compliance contract will have a maximum review period of 4 weeks. </w:t>
      </w:r>
      <w:r w:rsidR="005A21F9">
        <w:t xml:space="preserve">Compliance contracts </w:t>
      </w:r>
      <w:r w:rsidR="00C63F87">
        <w:t>will be translate</w:t>
      </w:r>
      <w:r w:rsidR="009E7427">
        <w:t>d</w:t>
      </w:r>
      <w:r w:rsidR="00C63F87">
        <w:t xml:space="preserve">, if necessary, and </w:t>
      </w:r>
      <w:r w:rsidR="005A21F9">
        <w:t xml:space="preserve">are still valid even if the student and/or parent does not sign the contract. </w:t>
      </w:r>
      <w:r w:rsidR="00A002C5">
        <w:t>Schools must send the compliance contract, previous intervention strategies, and relevant evidence to DE (IED); DE (IED) staff may provide advice on the compliance cont</w:t>
      </w:r>
      <w:r w:rsidR="00A5025A">
        <w:t>r</w:t>
      </w:r>
      <w:r w:rsidR="00A002C5">
        <w:t xml:space="preserve">act and intervention strategy implemented in order to improve the effectiveness of the support provided. </w:t>
      </w:r>
      <w:r>
        <w:t xml:space="preserve">Please refer to the </w:t>
      </w:r>
      <w:hyperlink r:id="rId22" w:history="1">
        <w:r w:rsidR="003C2973" w:rsidRPr="001D5AD3">
          <w:rPr>
            <w:rStyle w:val="Hyperlink"/>
          </w:rPr>
          <w:t>ISP Course Progress Procedure</w:t>
        </w:r>
      </w:hyperlink>
      <w:r>
        <w:t xml:space="preserve"> for the process to be followed by schools and DE (IED).</w:t>
      </w:r>
    </w:p>
    <w:p w14:paraId="6607324F" w14:textId="219441AD" w:rsidR="00EC408F" w:rsidRDefault="00EC408F" w:rsidP="002B0378">
      <w:pPr>
        <w:pStyle w:val="BodyText"/>
      </w:pPr>
      <w:r>
        <w:t xml:space="preserve">Schools must use the ISP Course Progress, Attendance and Behaviour Compliance Pack </w:t>
      </w:r>
      <w:r w:rsidR="00D05558">
        <w:t>(</w:t>
      </w:r>
      <w:hyperlink r:id="rId23" w:history="1">
        <w:r w:rsidR="00D05558" w:rsidRPr="000D7790">
          <w:rPr>
            <w:rStyle w:val="Hyperlink"/>
          </w:rPr>
          <w:t>checklist template</w:t>
        </w:r>
      </w:hyperlink>
      <w:r w:rsidR="00D05558">
        <w:t xml:space="preserve">, </w:t>
      </w:r>
      <w:hyperlink r:id="rId24" w:history="1">
        <w:r w:rsidR="00D05558" w:rsidRPr="000D7790">
          <w:rPr>
            <w:rStyle w:val="Hyperlink"/>
          </w:rPr>
          <w:t>meeting template</w:t>
        </w:r>
      </w:hyperlink>
      <w:r w:rsidR="00D05558">
        <w:t xml:space="preserve">, </w:t>
      </w:r>
      <w:hyperlink r:id="rId25" w:history="1">
        <w:r w:rsidR="00D05558" w:rsidRPr="000D7790">
          <w:rPr>
            <w:rStyle w:val="Hyperlink"/>
          </w:rPr>
          <w:t>compliance contract</w:t>
        </w:r>
        <w:r w:rsidR="000D7790" w:rsidRPr="000D7790">
          <w:rPr>
            <w:rStyle w:val="Hyperlink"/>
          </w:rPr>
          <w:t xml:space="preserve"> template</w:t>
        </w:r>
      </w:hyperlink>
      <w:r w:rsidR="00D05558">
        <w:t xml:space="preserve">) </w:t>
      </w:r>
      <w:r>
        <w:t xml:space="preserve">to support record keeping and compliance requirements. </w:t>
      </w:r>
    </w:p>
    <w:p w14:paraId="7A939751" w14:textId="24E3CB24" w:rsidR="004929A0" w:rsidRPr="00E35024" w:rsidRDefault="004929A0" w:rsidP="00827009">
      <w:pPr>
        <w:pStyle w:val="BodyText"/>
      </w:pPr>
      <w:r>
        <w:t xml:space="preserve">Records of the outcomes of assessment, reports and all intervention strategies are kept on the school’s student file, CASES21, and in DE (IED)’s </w:t>
      </w:r>
      <w:r w:rsidR="003E28D9">
        <w:t xml:space="preserve">Victorian International Student Information Tool (VISIT) </w:t>
      </w:r>
      <w:r>
        <w:t xml:space="preserve">in accordance with the </w:t>
      </w:r>
      <w:hyperlink r:id="rId26" w:history="1">
        <w:r w:rsidR="003C2973" w:rsidRPr="003C2973">
          <w:rPr>
            <w:rStyle w:val="Hyperlink"/>
          </w:rPr>
          <w:t>ISP Record Keeping Procedural Guidelines</w:t>
        </w:r>
      </w:hyperlink>
      <w:r>
        <w:t>.</w:t>
      </w:r>
    </w:p>
    <w:p w14:paraId="791FFA40" w14:textId="66255DA1" w:rsidR="005B7C85" w:rsidRPr="004A57B3" w:rsidRDefault="005B7C85" w:rsidP="00B60A4B">
      <w:pPr>
        <w:pStyle w:val="Heading4"/>
      </w:pPr>
      <w:r w:rsidRPr="004A57B3">
        <w:lastRenderedPageBreak/>
        <w:t>Reporting</w:t>
      </w:r>
    </w:p>
    <w:p w14:paraId="52E5DC1B" w14:textId="3AAD60DC" w:rsidR="005B7C85" w:rsidRDefault="005B7C85" w:rsidP="00E60FAE">
      <w:pPr>
        <w:jc w:val="both"/>
      </w:pPr>
      <w:r>
        <w:t>DE (IED) is required to report students who have not achieved satisfactory course progress, as required by Commonwealth law.</w:t>
      </w:r>
      <w:r w:rsidR="004929A0">
        <w:t xml:space="preserve"> </w:t>
      </w:r>
      <w:r>
        <w:t xml:space="preserve">Please refer to the </w:t>
      </w:r>
      <w:hyperlink r:id="rId27" w:history="1">
        <w:r w:rsidR="003C2973" w:rsidRPr="001D5AD3">
          <w:rPr>
            <w:rStyle w:val="Hyperlink"/>
          </w:rPr>
          <w:t>ISP Course Progress Procedure</w:t>
        </w:r>
      </w:hyperlink>
      <w:r>
        <w:t xml:space="preserve"> for further information on the process DE (IED) follows when a student achieves unsatisfactory course progress.</w:t>
      </w:r>
    </w:p>
    <w:p w14:paraId="3314951C" w14:textId="791D5FC9" w:rsidR="002B0378" w:rsidRDefault="00361217" w:rsidP="00827009">
      <w:pPr>
        <w:pStyle w:val="BodyText"/>
      </w:pPr>
      <w:r>
        <w:t>Schools determine if a student has failed to achieve satisfactory course progress</w:t>
      </w:r>
      <w:r w:rsidR="009076F5">
        <w:t xml:space="preserve"> in accordance with the criteria set out in this policy</w:t>
      </w:r>
      <w:r>
        <w:t>. If DE (IED) endorses this assessment</w:t>
      </w:r>
      <w:r w:rsidR="002B0378" w:rsidRPr="003A0044">
        <w:t xml:space="preserve">, </w:t>
      </w:r>
      <w:r w:rsidR="002B0378">
        <w:t>DE (IED)</w:t>
      </w:r>
      <w:r w:rsidR="002B0378" w:rsidRPr="003A0044">
        <w:t xml:space="preserve"> </w:t>
      </w:r>
      <w:r w:rsidR="00C43B95">
        <w:t>will</w:t>
      </w:r>
      <w:r w:rsidR="0030004F">
        <w:t xml:space="preserve"> proceed with the reporting process as described in the </w:t>
      </w:r>
      <w:hyperlink r:id="rId28" w:history="1">
        <w:r w:rsidR="003C2973" w:rsidRPr="001D5AD3">
          <w:rPr>
            <w:rStyle w:val="Hyperlink"/>
          </w:rPr>
          <w:t>ISP Course Progress Procedure</w:t>
        </w:r>
      </w:hyperlink>
      <w:r w:rsidR="0030004F">
        <w:t xml:space="preserve">, which may result in the student being reported to the Department of Home Affairs (DHA) and their student visa being cancelled, </w:t>
      </w:r>
      <w:r w:rsidR="002B0378" w:rsidRPr="003A0044">
        <w:t>even if the student subsequently withdraws from the course.</w:t>
      </w:r>
    </w:p>
    <w:p w14:paraId="5AB9F073" w14:textId="1C97F559" w:rsidR="004929A0" w:rsidRDefault="002B0378" w:rsidP="00E60FAE">
      <w:pPr>
        <w:jc w:val="both"/>
      </w:pPr>
      <w:r>
        <w:t xml:space="preserve">Students can appeal decisions made in relation to </w:t>
      </w:r>
      <w:r w:rsidR="00BB4B96">
        <w:t xml:space="preserve">unsatisfactory </w:t>
      </w:r>
      <w:r>
        <w:t xml:space="preserve">course progress, in accordance with the </w:t>
      </w:r>
      <w:hyperlink r:id="rId29" w:history="1">
        <w:r w:rsidRPr="000D7790">
          <w:rPr>
            <w:rStyle w:val="Hyperlink"/>
          </w:rPr>
          <w:t xml:space="preserve">ISP Complaints and Appeals </w:t>
        </w:r>
        <w:r w:rsidR="00986C91" w:rsidRPr="000D7790">
          <w:rPr>
            <w:rStyle w:val="Hyperlink"/>
          </w:rPr>
          <w:t>P</w:t>
        </w:r>
        <w:r w:rsidRPr="000D7790">
          <w:rPr>
            <w:rStyle w:val="Hyperlink"/>
          </w:rPr>
          <w:t>olicy</w:t>
        </w:r>
      </w:hyperlink>
      <w:r w:rsidRPr="00C534C0">
        <w:t>.</w:t>
      </w:r>
      <w:r w:rsidR="004929A0">
        <w:t xml:space="preserve"> </w:t>
      </w:r>
    </w:p>
    <w:p w14:paraId="37A92106" w14:textId="7818002B" w:rsidR="002B0378" w:rsidRDefault="004929A0" w:rsidP="00E60FAE">
      <w:pPr>
        <w:jc w:val="both"/>
      </w:pPr>
      <w:r w:rsidRPr="0046172F">
        <w:t>If an under 18 year old student is reported to the Commonwealth Government for breaching attendance requirements, the school must maintain welfare arrangements in accordance with the</w:t>
      </w:r>
      <w:r>
        <w:t xml:space="preserve"> </w:t>
      </w:r>
      <w:hyperlink r:id="rId30" w:history="1">
        <w:r w:rsidR="000D7790" w:rsidRPr="000D7790">
          <w:rPr>
            <w:rStyle w:val="Hyperlink"/>
          </w:rPr>
          <w:t>ISP Accommodation and Welfare Policy</w:t>
        </w:r>
      </w:hyperlink>
      <w:r w:rsidRPr="0046172F">
        <w:t>.</w:t>
      </w:r>
    </w:p>
    <w:p w14:paraId="1836C6F0" w14:textId="41DBC0D9" w:rsidR="009A20EC" w:rsidRPr="000953F4" w:rsidRDefault="00352A6B" w:rsidP="00B60A4B">
      <w:pPr>
        <w:pStyle w:val="Heading2"/>
      </w:pPr>
      <w:r w:rsidRPr="000953F4">
        <w:t>Legislation</w:t>
      </w:r>
    </w:p>
    <w:p w14:paraId="7B46FA35" w14:textId="77777777" w:rsidR="00311BDC" w:rsidRPr="002F1E3E" w:rsidRDefault="00311BDC" w:rsidP="00E60FAE">
      <w:pPr>
        <w:pStyle w:val="ListBullet"/>
        <w:jc w:val="both"/>
        <w:rPr>
          <w:i/>
        </w:rPr>
      </w:pPr>
      <w:r w:rsidRPr="002F1E3E">
        <w:rPr>
          <w:i/>
        </w:rPr>
        <w:t xml:space="preserve">Education Services for Overseas </w:t>
      </w:r>
      <w:r>
        <w:rPr>
          <w:i/>
        </w:rPr>
        <w:t>Students Act 2000</w:t>
      </w:r>
      <w:r>
        <w:t xml:space="preserve"> (Cth)</w:t>
      </w:r>
    </w:p>
    <w:p w14:paraId="6CF9C04F" w14:textId="48C83170" w:rsidR="00311BDC" w:rsidRPr="00C27702" w:rsidRDefault="00311BDC" w:rsidP="00E60FAE">
      <w:pPr>
        <w:pStyle w:val="ListBullet"/>
        <w:jc w:val="both"/>
        <w:rPr>
          <w:i/>
        </w:rPr>
      </w:pPr>
      <w:r>
        <w:rPr>
          <w:i/>
        </w:rPr>
        <w:t>National Code of Practice for Provider</w:t>
      </w:r>
      <w:r w:rsidR="007F3E63">
        <w:rPr>
          <w:i/>
        </w:rPr>
        <w:t>s</w:t>
      </w:r>
      <w:r>
        <w:rPr>
          <w:i/>
        </w:rPr>
        <w:t xml:space="preserve"> of Education and Training to Overseas Students 2018 </w:t>
      </w:r>
      <w:r>
        <w:t>(Cth)</w:t>
      </w:r>
    </w:p>
    <w:p w14:paraId="2B473F84" w14:textId="0E7B0158" w:rsidR="002B49C0" w:rsidRPr="002F1E3E" w:rsidRDefault="002B49C0" w:rsidP="00E60FAE">
      <w:pPr>
        <w:pStyle w:val="ListBullet"/>
        <w:jc w:val="both"/>
        <w:rPr>
          <w:i/>
        </w:rPr>
      </w:pPr>
      <w:r>
        <w:rPr>
          <w:i/>
        </w:rPr>
        <w:t xml:space="preserve">Migration Regulations 1994 </w:t>
      </w:r>
      <w:r w:rsidRPr="00C27702">
        <w:t>(Cth)</w:t>
      </w:r>
    </w:p>
    <w:p w14:paraId="1836C6F2" w14:textId="77777777" w:rsidR="009A20EC" w:rsidRPr="000953F4" w:rsidRDefault="009A20EC" w:rsidP="00B60A4B">
      <w:pPr>
        <w:pStyle w:val="Heading2"/>
      </w:pPr>
      <w:r w:rsidRPr="000953F4">
        <w:t>Associated Documents</w:t>
      </w:r>
    </w:p>
    <w:p w14:paraId="1836C6F3" w14:textId="744B3D5B" w:rsidR="009A20EC" w:rsidRPr="00A6492E" w:rsidRDefault="00E0314A" w:rsidP="00E60FAE">
      <w:pPr>
        <w:pStyle w:val="ListBullet"/>
        <w:jc w:val="both"/>
        <w:rPr>
          <w:color w:val="auto"/>
        </w:rPr>
      </w:pPr>
      <w:hyperlink r:id="rId31" w:history="1">
        <w:r w:rsidR="0020461A" w:rsidRPr="00A6492E">
          <w:rPr>
            <w:rStyle w:val="Hyperlink"/>
          </w:rPr>
          <w:t>ISP Course Progress Procedure</w:t>
        </w:r>
      </w:hyperlink>
    </w:p>
    <w:p w14:paraId="6456B469" w14:textId="5726F3FB" w:rsidR="00D05558" w:rsidRDefault="00E0314A" w:rsidP="00E60FAE">
      <w:pPr>
        <w:pStyle w:val="ListBullet"/>
        <w:jc w:val="both"/>
        <w:rPr>
          <w:color w:val="auto"/>
        </w:rPr>
      </w:pPr>
      <w:hyperlink r:id="rId32" w:history="1">
        <w:r w:rsidR="007F3E63" w:rsidRPr="00A6492E">
          <w:rPr>
            <w:rStyle w:val="Hyperlink"/>
          </w:rPr>
          <w:t>ISP Course Progress, Attendance</w:t>
        </w:r>
        <w:r w:rsidR="00D05558" w:rsidRPr="000D7790">
          <w:rPr>
            <w:rStyle w:val="Hyperlink"/>
          </w:rPr>
          <w:t>,</w:t>
        </w:r>
        <w:r w:rsidR="007F3E63" w:rsidRPr="00A6492E">
          <w:rPr>
            <w:rStyle w:val="Hyperlink"/>
          </w:rPr>
          <w:t xml:space="preserve"> and Behaviour</w:t>
        </w:r>
        <w:r w:rsidR="00D05558" w:rsidRPr="000D7790">
          <w:rPr>
            <w:rStyle w:val="Hyperlink"/>
          </w:rPr>
          <w:t xml:space="preserve"> – checklist template</w:t>
        </w:r>
      </w:hyperlink>
      <w:r w:rsidR="00D05558">
        <w:rPr>
          <w:color w:val="auto"/>
        </w:rPr>
        <w:t xml:space="preserve"> </w:t>
      </w:r>
    </w:p>
    <w:p w14:paraId="4BFCD057" w14:textId="6374DE46" w:rsidR="003C2973" w:rsidRDefault="00E0314A" w:rsidP="00E60FAE">
      <w:pPr>
        <w:pStyle w:val="ListBullet"/>
        <w:jc w:val="both"/>
        <w:rPr>
          <w:color w:val="auto"/>
        </w:rPr>
      </w:pPr>
      <w:hyperlink r:id="rId33" w:history="1">
        <w:r w:rsidR="00D05558" w:rsidRPr="000D7790">
          <w:rPr>
            <w:rStyle w:val="Hyperlink"/>
          </w:rPr>
          <w:t>ISP Course Progress, Attendance, and Behaviour – meeting template</w:t>
        </w:r>
      </w:hyperlink>
      <w:r w:rsidR="00D05558">
        <w:rPr>
          <w:color w:val="auto"/>
        </w:rPr>
        <w:t xml:space="preserve"> </w:t>
      </w:r>
    </w:p>
    <w:p w14:paraId="0077E5A2" w14:textId="005B4814" w:rsidR="003C2973" w:rsidRPr="00BB4B96" w:rsidRDefault="00E0314A" w:rsidP="003C2973">
      <w:pPr>
        <w:pStyle w:val="ListBullet"/>
        <w:jc w:val="both"/>
        <w:rPr>
          <w:color w:val="auto"/>
        </w:rPr>
      </w:pPr>
      <w:hyperlink r:id="rId34" w:history="1">
        <w:r w:rsidR="003C2973" w:rsidRPr="000D7790">
          <w:rPr>
            <w:rStyle w:val="Hyperlink"/>
          </w:rPr>
          <w:t>ISP Compliance Contract Template</w:t>
        </w:r>
      </w:hyperlink>
    </w:p>
    <w:p w14:paraId="68926351" w14:textId="0C6ADA59" w:rsidR="00BB4B96" w:rsidRDefault="00E0314A" w:rsidP="00E60FAE">
      <w:pPr>
        <w:pStyle w:val="ListBullet"/>
        <w:jc w:val="both"/>
        <w:rPr>
          <w:color w:val="auto"/>
        </w:rPr>
      </w:pPr>
      <w:hyperlink r:id="rId35" w:history="1">
        <w:r w:rsidR="00BB4B96" w:rsidRPr="000D7790">
          <w:rPr>
            <w:rStyle w:val="Hyperlink"/>
          </w:rPr>
          <w:t>ISP Complaints and Appeals Policy</w:t>
        </w:r>
      </w:hyperlink>
    </w:p>
    <w:p w14:paraId="40319FA4" w14:textId="402A9C2E" w:rsidR="00BB4B96" w:rsidRDefault="00E0314A" w:rsidP="00E60FAE">
      <w:pPr>
        <w:pStyle w:val="ListBullet"/>
        <w:jc w:val="both"/>
        <w:rPr>
          <w:color w:val="auto"/>
        </w:rPr>
      </w:pPr>
      <w:hyperlink r:id="rId36" w:history="1">
        <w:r w:rsidR="00BB4B96" w:rsidRPr="000D7790">
          <w:rPr>
            <w:rStyle w:val="Hyperlink"/>
          </w:rPr>
          <w:t>ISP Student-</w:t>
        </w:r>
        <w:r w:rsidR="00827009" w:rsidRPr="000D7790">
          <w:rPr>
            <w:rStyle w:val="Hyperlink"/>
          </w:rPr>
          <w:t>I</w:t>
        </w:r>
        <w:r w:rsidR="00BB4B96" w:rsidRPr="000D7790">
          <w:rPr>
            <w:rStyle w:val="Hyperlink"/>
          </w:rPr>
          <w:t>nitiated Deferrals, Suspensions and Cancellations Policy</w:t>
        </w:r>
      </w:hyperlink>
    </w:p>
    <w:p w14:paraId="4A91433D" w14:textId="68B382DF" w:rsidR="00F423CE" w:rsidRDefault="00E0314A" w:rsidP="00E60FAE">
      <w:pPr>
        <w:pStyle w:val="ListBullet"/>
        <w:jc w:val="both"/>
      </w:pPr>
      <w:hyperlink r:id="rId37" w:history="1">
        <w:r w:rsidR="003C2973" w:rsidRPr="003C2973">
          <w:rPr>
            <w:rStyle w:val="Hyperlink"/>
          </w:rPr>
          <w:t>ISP Record Keeping Procedural Guidelines</w:t>
        </w:r>
      </w:hyperlink>
    </w:p>
    <w:p w14:paraId="72673FFF" w14:textId="5C68B981" w:rsidR="00BB4B96" w:rsidRDefault="00ED17CD" w:rsidP="00E60FAE">
      <w:pPr>
        <w:pStyle w:val="ListBullet"/>
        <w:jc w:val="both"/>
        <w:rPr>
          <w:color w:val="auto"/>
        </w:rPr>
      </w:pPr>
      <w:hyperlink r:id="rId38" w:history="1">
        <w:r w:rsidRPr="00C34BAD">
          <w:rPr>
            <w:rStyle w:val="Hyperlink"/>
          </w:rPr>
          <w:t xml:space="preserve">ISP </w:t>
        </w:r>
        <w:r>
          <w:rPr>
            <w:rStyle w:val="Hyperlink"/>
          </w:rPr>
          <w:t xml:space="preserve">Community Language School </w:t>
        </w:r>
        <w:r w:rsidRPr="00C34BAD">
          <w:rPr>
            <w:rStyle w:val="Hyperlink"/>
          </w:rPr>
          <w:t>Policy</w:t>
        </w:r>
      </w:hyperlink>
    </w:p>
    <w:p w14:paraId="5B89F799" w14:textId="4446C160" w:rsidR="000D7790" w:rsidRPr="00A6492E" w:rsidRDefault="00E0314A" w:rsidP="00E60FAE">
      <w:pPr>
        <w:pStyle w:val="ListBullet"/>
        <w:jc w:val="both"/>
        <w:rPr>
          <w:rStyle w:val="Hyperlink"/>
        </w:rPr>
      </w:pPr>
      <w:hyperlink r:id="rId39" w:history="1">
        <w:r w:rsidR="000D7790" w:rsidRPr="000D7790">
          <w:rPr>
            <w:rStyle w:val="Hyperlink"/>
          </w:rPr>
          <w:t>ISP Accommodation and Welfare Policy</w:t>
        </w:r>
      </w:hyperlink>
    </w:p>
    <w:p w14:paraId="065477C5" w14:textId="7523B657" w:rsidR="00E47D9F" w:rsidRPr="00C27702" w:rsidRDefault="00E0314A" w:rsidP="00E60FAE">
      <w:pPr>
        <w:pStyle w:val="ListBullet"/>
        <w:jc w:val="both"/>
        <w:rPr>
          <w:color w:val="auto"/>
        </w:rPr>
      </w:pPr>
      <w:hyperlink r:id="rId40" w:history="1">
        <w:r w:rsidR="00E47D9F" w:rsidRPr="0021726B">
          <w:rPr>
            <w:rStyle w:val="Hyperlink"/>
          </w:rPr>
          <w:t>Reporting Student Achievement and Progress Foundation to 10</w:t>
        </w:r>
      </w:hyperlink>
    </w:p>
    <w:p w14:paraId="1836C6F4" w14:textId="77777777" w:rsidR="009A20EC" w:rsidRPr="000953F4" w:rsidRDefault="009A20EC" w:rsidP="00B60A4B">
      <w:pPr>
        <w:pStyle w:val="Heading2"/>
      </w:pPr>
      <w:r w:rsidRPr="000953F4">
        <w:t>Definitions</w:t>
      </w:r>
    </w:p>
    <w:p w14:paraId="5867AA89" w14:textId="6BDED0D7" w:rsidR="00C762B2" w:rsidRPr="009236E9" w:rsidRDefault="00C762B2" w:rsidP="00E60FAE">
      <w:pPr>
        <w:pStyle w:val="ListBullet"/>
        <w:jc w:val="both"/>
      </w:pPr>
      <w:r w:rsidRPr="009236E9">
        <w:rPr>
          <w:b/>
        </w:rPr>
        <w:t>A</w:t>
      </w:r>
      <w:r>
        <w:rPr>
          <w:b/>
        </w:rPr>
        <w:t>t-risk</w:t>
      </w:r>
      <w:r>
        <w:t xml:space="preserve"> is when students are showing clearly signs that they may not achieving satisfactory course progress in the study period (for example, through academic reports and written teacher feedback)</w:t>
      </w:r>
      <w:r w:rsidR="007D3C50">
        <w:t>.</w:t>
      </w:r>
    </w:p>
    <w:p w14:paraId="4AA4FB93" w14:textId="6CCDA02F" w:rsidR="001B6A6C" w:rsidRPr="0004732E" w:rsidRDefault="001B6A6C" w:rsidP="00E60FAE">
      <w:pPr>
        <w:pStyle w:val="ListBullet"/>
        <w:jc w:val="both"/>
      </w:pPr>
      <w:r w:rsidRPr="0004732E">
        <w:rPr>
          <w:b/>
        </w:rPr>
        <w:t xml:space="preserve">Compassionate circumstances </w:t>
      </w:r>
      <w:r w:rsidRPr="0004732E">
        <w:t>refers to circumstances that are not in the student’s control or created by the student and adversely impact on student welfare or course progress (for example, illness, bereavement or traumatic events may qualify)</w:t>
      </w:r>
      <w:r>
        <w:t xml:space="preserve">, as assessed on a </w:t>
      </w:r>
      <w:r w:rsidR="006660C0">
        <w:t>case-by-case</w:t>
      </w:r>
      <w:r>
        <w:t xml:space="preserve"> basis</w:t>
      </w:r>
      <w:r w:rsidRPr="0004732E">
        <w:t>.</w:t>
      </w:r>
    </w:p>
    <w:p w14:paraId="3654249F" w14:textId="04EDB311" w:rsidR="001B6A6C" w:rsidRPr="0004732E" w:rsidRDefault="001B6A6C" w:rsidP="00E60FAE">
      <w:pPr>
        <w:pStyle w:val="ListBullet"/>
        <w:jc w:val="both"/>
      </w:pPr>
      <w:r w:rsidRPr="0004732E">
        <w:rPr>
          <w:b/>
        </w:rPr>
        <w:t>Compelling circumstances</w:t>
      </w:r>
      <w:r w:rsidRPr="0004732E">
        <w:t xml:space="preserve"> are circumstances which </w:t>
      </w:r>
      <w:r>
        <w:t xml:space="preserve">in </w:t>
      </w:r>
      <w:r w:rsidRPr="0004732E">
        <w:t>the opinion of DE (IED) are in the student’s best interests</w:t>
      </w:r>
      <w:r>
        <w:t xml:space="preserve">, as assessed on a </w:t>
      </w:r>
      <w:r w:rsidR="006660C0">
        <w:t>case-by-case</w:t>
      </w:r>
      <w:r>
        <w:t xml:space="preserve"> basis</w:t>
      </w:r>
      <w:r w:rsidRPr="0004732E">
        <w:t xml:space="preserve">. </w:t>
      </w:r>
    </w:p>
    <w:p w14:paraId="5AE071B0" w14:textId="49B08DFC" w:rsidR="0020461A" w:rsidRPr="002E5C10" w:rsidRDefault="0020461A" w:rsidP="00E60FAE">
      <w:pPr>
        <w:pStyle w:val="ListBullet"/>
        <w:jc w:val="both"/>
      </w:pPr>
      <w:r>
        <w:rPr>
          <w:b/>
        </w:rPr>
        <w:t xml:space="preserve">CASES21 </w:t>
      </w:r>
      <w:r>
        <w:t xml:space="preserve">is an online platform used by all Victorian government schools to record and manage student data (including attendance data). Please refer to Appendix 1 in the </w:t>
      </w:r>
      <w:hyperlink r:id="rId41" w:history="1">
        <w:r w:rsidR="003C2973" w:rsidRPr="003C2973">
          <w:rPr>
            <w:rStyle w:val="Hyperlink"/>
          </w:rPr>
          <w:t>ISP Record Keeping Procedural Guidelines</w:t>
        </w:r>
      </w:hyperlink>
      <w:r w:rsidR="004C664A">
        <w:t xml:space="preserve"> for further information.</w:t>
      </w:r>
    </w:p>
    <w:p w14:paraId="5D32CC4A" w14:textId="19120607" w:rsidR="001B6A6C" w:rsidRDefault="001B6A6C" w:rsidP="00E60FAE">
      <w:pPr>
        <w:pStyle w:val="ListBullet"/>
        <w:jc w:val="both"/>
      </w:pPr>
      <w:r>
        <w:rPr>
          <w:b/>
        </w:rPr>
        <w:t>DE (IED)</w:t>
      </w:r>
      <w:r w:rsidRPr="006E207A">
        <w:rPr>
          <w:b/>
        </w:rPr>
        <w:t xml:space="preserve"> </w:t>
      </w:r>
      <w:r w:rsidRPr="00307189">
        <w:rPr>
          <w:b/>
        </w:rPr>
        <w:t>staff</w:t>
      </w:r>
      <w:r w:rsidRPr="00BF2501">
        <w:t xml:space="preserve"> includes the Executive Officers, managers and employees (full time, part time, ongoing, fixed term, casual and contractor) of DE who work directly or indirectly with the ISP. This excludes </w:t>
      </w:r>
      <w:r>
        <w:t>school staff</w:t>
      </w:r>
      <w:r w:rsidRPr="00BF2501">
        <w:t>.</w:t>
      </w:r>
    </w:p>
    <w:p w14:paraId="4AF8C1C1" w14:textId="1F0CF674" w:rsidR="007D3C50" w:rsidRPr="009236E9" w:rsidRDefault="007D3C50" w:rsidP="00E60FAE">
      <w:pPr>
        <w:pStyle w:val="ListBullet"/>
        <w:jc w:val="both"/>
        <w:rPr>
          <w:b/>
        </w:rPr>
      </w:pPr>
      <w:r w:rsidRPr="009236E9">
        <w:rPr>
          <w:b/>
        </w:rPr>
        <w:t xml:space="preserve">Early intervention </w:t>
      </w:r>
      <w:r>
        <w:rPr>
          <w:b/>
        </w:rPr>
        <w:t>stage</w:t>
      </w:r>
      <w:r>
        <w:t xml:space="preserve"> is when there are emerging signs that the student is experiencing difficulty in satisfactorily progressing </w:t>
      </w:r>
      <w:r w:rsidR="007B15DF">
        <w:t xml:space="preserve">their course </w:t>
      </w:r>
      <w:r>
        <w:t>(for example, through informal teacher feedback)</w:t>
      </w:r>
      <w:r w:rsidR="007B15DF">
        <w:t>.</w:t>
      </w:r>
    </w:p>
    <w:p w14:paraId="560E1974" w14:textId="72E4532E" w:rsidR="0079587B" w:rsidRPr="00BF2501" w:rsidRDefault="0079587B" w:rsidP="00E60FAE">
      <w:pPr>
        <w:pStyle w:val="ListBullet"/>
        <w:jc w:val="both"/>
      </w:pPr>
      <w:r w:rsidRPr="009236E9">
        <w:rPr>
          <w:b/>
        </w:rPr>
        <w:t xml:space="preserve">ESOS </w:t>
      </w:r>
      <w:r>
        <w:t xml:space="preserve">refers to the </w:t>
      </w:r>
      <w:r w:rsidRPr="009236E9">
        <w:rPr>
          <w:i/>
        </w:rPr>
        <w:t xml:space="preserve">Education </w:t>
      </w:r>
      <w:r w:rsidRPr="0079587B">
        <w:rPr>
          <w:i/>
        </w:rPr>
        <w:t>Services</w:t>
      </w:r>
      <w:r w:rsidRPr="009236E9">
        <w:rPr>
          <w:i/>
        </w:rPr>
        <w:t xml:space="preserve"> for Overseas Student Act 2000</w:t>
      </w:r>
      <w:r>
        <w:t xml:space="preserve"> (Cth)</w:t>
      </w:r>
      <w:r w:rsidR="000953F4">
        <w:t>.</w:t>
      </w:r>
    </w:p>
    <w:p w14:paraId="5159D3A4" w14:textId="77777777" w:rsidR="00BB4B96" w:rsidRPr="00281D89" w:rsidRDefault="00BB4B96" w:rsidP="00E60FAE">
      <w:pPr>
        <w:pStyle w:val="ListBullet"/>
        <w:tabs>
          <w:tab w:val="clear" w:pos="340"/>
        </w:tabs>
        <w:jc w:val="both"/>
      </w:pPr>
      <w:r>
        <w:rPr>
          <w:b/>
        </w:rPr>
        <w:t xml:space="preserve">Parent </w:t>
      </w:r>
      <w:r w:rsidRPr="00281D89">
        <w:t>refers to the parent(s) or legal guardian</w:t>
      </w:r>
      <w:r>
        <w:t>(s)</w:t>
      </w:r>
      <w:r w:rsidRPr="00281D89">
        <w:t xml:space="preserve"> of an international studen</w:t>
      </w:r>
      <w:r>
        <w:t>t.</w:t>
      </w:r>
    </w:p>
    <w:p w14:paraId="360DBB43" w14:textId="3C5810A2" w:rsidR="001B6A6C" w:rsidRDefault="001B6A6C" w:rsidP="00E60FAE">
      <w:pPr>
        <w:pStyle w:val="ListBullet"/>
        <w:jc w:val="both"/>
      </w:pPr>
      <w:r w:rsidRPr="00BF2501">
        <w:rPr>
          <w:b/>
        </w:rPr>
        <w:t>School</w:t>
      </w:r>
      <w:r>
        <w:t xml:space="preserve"> for the purpose of this document is defined as a school accredited by DE (IED) to deliver an ISP.</w:t>
      </w:r>
    </w:p>
    <w:p w14:paraId="1A94D52D" w14:textId="0018108C" w:rsidR="000953F4" w:rsidRPr="00BF2501" w:rsidRDefault="000953F4" w:rsidP="000953F4">
      <w:pPr>
        <w:pStyle w:val="ListBullet"/>
        <w:jc w:val="both"/>
      </w:pPr>
      <w:r w:rsidRPr="00B60A4B">
        <w:rPr>
          <w:b/>
          <w:bCs/>
        </w:rPr>
        <w:t>VCAA</w:t>
      </w:r>
      <w:r>
        <w:t xml:space="preserve"> means the Victorian Curriculum and Assessment Authorit</w:t>
      </w:r>
      <w:r w:rsidR="00B60A4B">
        <w:t>y</w:t>
      </w:r>
      <w:r>
        <w:t>.</w:t>
      </w:r>
    </w:p>
    <w:p w14:paraId="425139B5" w14:textId="1E14666F" w:rsidR="000953F4" w:rsidRDefault="000953F4" w:rsidP="00E60FAE">
      <w:pPr>
        <w:pStyle w:val="ListBullet"/>
        <w:jc w:val="both"/>
      </w:pPr>
      <w:r w:rsidRPr="00B60A4B">
        <w:rPr>
          <w:b/>
          <w:bCs/>
        </w:rPr>
        <w:t>VCASS</w:t>
      </w:r>
      <w:r>
        <w:t xml:space="preserve"> means the </w:t>
      </w:r>
      <w:r w:rsidRPr="000953F4">
        <w:t xml:space="preserve">Victorian College of the Arts Secondary </w:t>
      </w:r>
      <w:r>
        <w:t>School.</w:t>
      </w:r>
    </w:p>
    <w:p w14:paraId="1836C6F6" w14:textId="6D0BF39B" w:rsidR="009A20EC" w:rsidRPr="000953F4" w:rsidRDefault="0020461A" w:rsidP="00B60A4B">
      <w:pPr>
        <w:pStyle w:val="Heading2"/>
      </w:pPr>
      <w:r w:rsidRPr="000953F4">
        <w:lastRenderedPageBreak/>
        <w:t xml:space="preserve">Policy </w:t>
      </w:r>
      <w:r w:rsidR="009A20EC" w:rsidRPr="000953F4">
        <w:t>Maintenance Officer</w:t>
      </w:r>
    </w:p>
    <w:p w14:paraId="1230FFC9" w14:textId="6A3B7F66" w:rsidR="0020461A" w:rsidRDefault="00A738EF" w:rsidP="00B60A4B">
      <w:pPr>
        <w:pStyle w:val="TableText"/>
        <w:keepNext/>
        <w:spacing w:after="0"/>
        <w:rPr>
          <w:szCs w:val="18"/>
        </w:rPr>
      </w:pPr>
      <w:r>
        <w:rPr>
          <w:szCs w:val="18"/>
        </w:rPr>
        <w:t>Manager</w:t>
      </w:r>
      <w:r w:rsidR="0020461A">
        <w:rPr>
          <w:szCs w:val="18"/>
        </w:rPr>
        <w:t xml:space="preserve">, </w:t>
      </w:r>
      <w:r>
        <w:rPr>
          <w:szCs w:val="18"/>
        </w:rPr>
        <w:t>School Support Unit</w:t>
      </w:r>
      <w:r w:rsidR="0020461A" w:rsidRPr="002F05A8">
        <w:rPr>
          <w:szCs w:val="18"/>
        </w:rPr>
        <w:t xml:space="preserve"> </w:t>
      </w:r>
    </w:p>
    <w:p w14:paraId="7CD17DE2" w14:textId="77777777" w:rsidR="0020461A" w:rsidRPr="002F05A8" w:rsidRDefault="0020461A" w:rsidP="00B60A4B">
      <w:pPr>
        <w:pStyle w:val="TableText"/>
        <w:keepNext/>
        <w:spacing w:before="0" w:after="0"/>
        <w:rPr>
          <w:szCs w:val="18"/>
        </w:rPr>
      </w:pPr>
      <w:r w:rsidRPr="002F05A8">
        <w:rPr>
          <w:szCs w:val="18"/>
        </w:rPr>
        <w:t>International Education Division</w:t>
      </w:r>
    </w:p>
    <w:p w14:paraId="0BD74C54" w14:textId="07935E40" w:rsidR="0020461A" w:rsidRPr="002F05A8" w:rsidRDefault="0020461A" w:rsidP="00B60A4B">
      <w:pPr>
        <w:pStyle w:val="TableText"/>
        <w:keepNext/>
        <w:spacing w:before="0" w:after="0"/>
        <w:rPr>
          <w:szCs w:val="18"/>
        </w:rPr>
      </w:pPr>
      <w:r w:rsidRPr="002F05A8">
        <w:rPr>
          <w:szCs w:val="18"/>
        </w:rPr>
        <w:t>Depar</w:t>
      </w:r>
      <w:r>
        <w:rPr>
          <w:szCs w:val="18"/>
        </w:rPr>
        <w:t xml:space="preserve">tment of Education </w:t>
      </w:r>
    </w:p>
    <w:p w14:paraId="0E88B79D" w14:textId="77777777" w:rsidR="00F60BE6" w:rsidRDefault="00F60BE6" w:rsidP="00B60A4B">
      <w:pPr>
        <w:pStyle w:val="Authorisationtext"/>
        <w:shd w:val="clear" w:color="auto" w:fill="auto"/>
      </w:pPr>
      <w:r>
        <w:t>Level 28, 80 Collins Street, Melbourne, Victoria 3000</w:t>
      </w:r>
    </w:p>
    <w:p w14:paraId="27259589" w14:textId="3B9369D5" w:rsidR="0020461A" w:rsidRPr="002F05A8" w:rsidRDefault="0020461A" w:rsidP="00B60A4B">
      <w:pPr>
        <w:pStyle w:val="TableText"/>
        <w:keepNext/>
        <w:spacing w:before="0" w:after="0"/>
        <w:rPr>
          <w:szCs w:val="18"/>
        </w:rPr>
      </w:pPr>
      <w:r w:rsidRPr="002F05A8">
        <w:rPr>
          <w:szCs w:val="18"/>
        </w:rPr>
        <w:t xml:space="preserve">Email: </w:t>
      </w:r>
      <w:hyperlink r:id="rId42" w:history="1">
        <w:r w:rsidR="006660C0" w:rsidRPr="00660D66">
          <w:rPr>
            <w:rStyle w:val="Hyperlink"/>
            <w:szCs w:val="18"/>
          </w:rPr>
          <w:t>international.school.support@education.vic.gov.au</w:t>
        </w:r>
      </w:hyperlink>
    </w:p>
    <w:p w14:paraId="67E6617D" w14:textId="0FE53C87" w:rsidR="0020461A" w:rsidRDefault="0020461A" w:rsidP="00B60A4B">
      <w:pPr>
        <w:pStyle w:val="TableText"/>
        <w:keepNext/>
        <w:spacing w:before="0" w:after="0"/>
      </w:pPr>
      <w:r w:rsidRPr="002F05A8">
        <w:rPr>
          <w:szCs w:val="18"/>
        </w:rPr>
        <w:t xml:space="preserve">Phone: </w:t>
      </w:r>
      <w:r>
        <w:rPr>
          <w:szCs w:val="18"/>
        </w:rPr>
        <w:t xml:space="preserve">+61 </w:t>
      </w:r>
      <w:r w:rsidRPr="002F05A8">
        <w:rPr>
          <w:szCs w:val="18"/>
        </w:rPr>
        <w:t>3 7022 1000</w:t>
      </w:r>
    </w:p>
    <w:p w14:paraId="1836C6F9" w14:textId="77777777" w:rsidR="009A20EC" w:rsidRDefault="009A20EC" w:rsidP="00E60FAE">
      <w:pPr>
        <w:pStyle w:val="Heading2"/>
        <w:shd w:val="clear" w:color="auto" w:fill="F2F2F2" w:themeFill="background1" w:themeFillShade="F2"/>
        <w:jc w:val="both"/>
      </w:pPr>
      <w:r>
        <w:t>Authorised</w:t>
      </w:r>
    </w:p>
    <w:p w14:paraId="1836C6FA" w14:textId="77777777" w:rsidR="000942B0" w:rsidRDefault="000942B0" w:rsidP="00827009">
      <w:pPr>
        <w:pStyle w:val="Authorisationtext"/>
      </w:pPr>
    </w:p>
    <w:p w14:paraId="1836C6FC" w14:textId="77777777" w:rsidR="009A20EC" w:rsidRPr="00AD2439" w:rsidRDefault="009A20EC">
      <w:pPr>
        <w:pStyle w:val="Authorisationtext"/>
      </w:pPr>
      <w:r w:rsidRPr="00AD2439">
        <w:t>Executive Director, International Education Division</w:t>
      </w:r>
    </w:p>
    <w:p w14:paraId="1836C6FD" w14:textId="77777777" w:rsidR="009A20EC" w:rsidRDefault="009A20EC">
      <w:pPr>
        <w:pStyle w:val="Authorisationtext"/>
      </w:pPr>
    </w:p>
    <w:p w14:paraId="1836C6FE" w14:textId="77777777" w:rsidR="000942B0" w:rsidRPr="00AD2439" w:rsidRDefault="000942B0">
      <w:pPr>
        <w:pStyle w:val="Authorisationtext"/>
      </w:pPr>
    </w:p>
    <w:p w14:paraId="1836C6FF" w14:textId="618BE612" w:rsidR="009A20EC" w:rsidRPr="00AD2439" w:rsidRDefault="009A20EC">
      <w:pPr>
        <w:pStyle w:val="Authorisationtext"/>
        <w:tabs>
          <w:tab w:val="left" w:pos="1985"/>
        </w:tabs>
      </w:pPr>
      <w:r w:rsidRPr="000942B0">
        <w:rPr>
          <w:b/>
        </w:rPr>
        <w:t>Date of authorisation</w:t>
      </w:r>
      <w:r w:rsidRPr="00AD2439">
        <w:t>:</w:t>
      </w:r>
      <w:r w:rsidRPr="00AD2439">
        <w:tab/>
      </w:r>
      <w:r w:rsidR="00186E2B">
        <w:t>29/11/2019</w:t>
      </w:r>
    </w:p>
    <w:p w14:paraId="1836C700" w14:textId="51962763" w:rsidR="009A20EC" w:rsidRPr="00AD2439" w:rsidRDefault="009A20EC">
      <w:pPr>
        <w:pStyle w:val="Authorisationtext"/>
        <w:tabs>
          <w:tab w:val="left" w:pos="1985"/>
        </w:tabs>
      </w:pPr>
      <w:r w:rsidRPr="000942B0">
        <w:rPr>
          <w:b/>
        </w:rPr>
        <w:t>Review frequency</w:t>
      </w:r>
      <w:r w:rsidRPr="00AD2439">
        <w:t xml:space="preserve">: </w:t>
      </w:r>
      <w:r w:rsidRPr="00AD2439">
        <w:tab/>
        <w:t xml:space="preserve">This policy will be reviewed at minimum </w:t>
      </w:r>
      <w:r w:rsidR="008B14C0">
        <w:t xml:space="preserve">every 24 months </w:t>
      </w:r>
      <w:r w:rsidRPr="00AD2439">
        <w:t xml:space="preserve">or when any changes arise impacting its currency, </w:t>
      </w:r>
      <w:r w:rsidR="000942B0">
        <w:tab/>
      </w:r>
      <w:r w:rsidRPr="00AD2439">
        <w:t>including legislative or regulation change.</w:t>
      </w:r>
    </w:p>
    <w:bookmarkEnd w:id="0"/>
    <w:bookmarkEnd w:id="1"/>
    <w:p w14:paraId="1836C726" w14:textId="77777777" w:rsidR="00796555" w:rsidRDefault="00796555">
      <w:pPr>
        <w:pStyle w:val="BodyText"/>
      </w:pPr>
    </w:p>
    <w:sectPr w:rsidR="00796555" w:rsidSect="006660C0">
      <w:footerReference w:type="default" r:id="rId43"/>
      <w:headerReference w:type="first" r:id="rId44"/>
      <w:footerReference w:type="first" r:id="rId45"/>
      <w:type w:val="continuous"/>
      <w:pgSz w:w="11900" w:h="16840" w:code="9"/>
      <w:pgMar w:top="720" w:right="720" w:bottom="720" w:left="720"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0677" w14:textId="77777777" w:rsidR="004B145D" w:rsidRDefault="004B145D">
      <w:pPr>
        <w:spacing w:line="240" w:lineRule="auto"/>
      </w:pPr>
      <w:r>
        <w:separator/>
      </w:r>
    </w:p>
  </w:endnote>
  <w:endnote w:type="continuationSeparator" w:id="0">
    <w:p w14:paraId="7A709C86" w14:textId="77777777" w:rsidR="004B145D" w:rsidRDefault="004B1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Gothic"/>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C72B" w14:textId="20C7F1A2" w:rsidR="00394CF6" w:rsidRPr="00394CF6" w:rsidRDefault="00394CF6" w:rsidP="00394CF6">
    <w:pPr>
      <w:pStyle w:val="Header"/>
      <w:rPr>
        <w:rFonts w:cs="Arial"/>
        <w:color w:val="7F7F7F" w:themeColor="text1" w:themeTint="80"/>
        <w:sz w:val="16"/>
        <w:szCs w:val="16"/>
      </w:rPr>
    </w:pPr>
  </w:p>
  <w:p w14:paraId="1836C72C" w14:textId="2C330019"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C27552">
      <w:rPr>
        <w:noProof/>
      </w:rPr>
      <w:t>5</w:t>
    </w:r>
    <w:r w:rsidRPr="00437D5A">
      <w:fldChar w:fldCharType="end"/>
    </w:r>
    <w:r w:rsidRPr="00437D5A">
      <w:t xml:space="preserve"> of </w:t>
    </w:r>
    <w:fldSimple w:instr=" NUMPAGES  \* Arabic  \* MERGEFORMAT ">
      <w:r w:rsidR="00C27552">
        <w:rPr>
          <w:noProof/>
        </w:rPr>
        <w:t>5</w:t>
      </w:r>
    </w:fldSimple>
  </w:p>
  <w:p w14:paraId="1836C72D" w14:textId="3A18A11C" w:rsidR="00AC0148" w:rsidRPr="00437D5A" w:rsidRDefault="00394CF6" w:rsidP="006660C0">
    <w:pPr>
      <w:pStyle w:val="Footer"/>
      <w:tabs>
        <w:tab w:val="clear" w:pos="4513"/>
        <w:tab w:val="clear" w:pos="10348"/>
        <w:tab w:val="right" w:pos="10460"/>
      </w:tabs>
    </w:pPr>
    <w:r w:rsidRPr="00437D5A">
      <w:t xml:space="preserve">Copyright State of Victoria </w:t>
    </w:r>
    <w:r w:rsidR="00A738EF">
      <w:t>202</w:t>
    </w:r>
    <w:r w:rsidR="003D30CD">
      <w:t>3</w:t>
    </w:r>
    <w:r w:rsidR="002755EA">
      <w:tab/>
      <w:t xml:space="preserve">Version </w:t>
    </w:r>
    <w:r w:rsidR="00F822ED">
      <w:t>2</w:t>
    </w:r>
    <w:r w:rsidR="002755EA">
      <w:t xml:space="preserve">.1 as of </w:t>
    </w:r>
    <w:r w:rsidR="00283A8A">
      <w:t xml:space="preserve">18 </w:t>
    </w:r>
    <w:r w:rsidR="006660C0">
      <w:t>May</w:t>
    </w:r>
    <w:r w:rsidR="00F822ED">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C730" w14:textId="1D497AD4" w:rsidR="00AC0148" w:rsidRDefault="00AC0148" w:rsidP="006660C0">
    <w:pPr>
      <w:pStyle w:val="Footer"/>
      <w:pBdr>
        <w:top w:val="none" w:sz="0" w:space="0" w:color="auto"/>
      </w:pBdr>
      <w:rPr>
        <w:noProof/>
        <w:lang w:eastAsia="en-AU"/>
      </w:rPr>
    </w:pPr>
  </w:p>
  <w:p w14:paraId="4E31D63C" w14:textId="6A2073DE" w:rsidR="00094116" w:rsidRPr="00394CF6" w:rsidRDefault="003D30CD" w:rsidP="006660C0">
    <w:pPr>
      <w:pStyle w:val="Footer"/>
      <w:pBdr>
        <w:top w:val="none" w:sz="0" w:space="0" w:color="auto"/>
      </w:pBdr>
    </w:pPr>
    <w:r>
      <w:rPr>
        <w:noProof/>
      </w:rPr>
      <w:drawing>
        <wp:inline distT="0" distB="0" distL="0" distR="0" wp14:anchorId="0F70DDA3" wp14:editId="5D6ACDA7">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485F" w14:textId="77777777" w:rsidR="004B145D" w:rsidRDefault="004B145D">
      <w:pPr>
        <w:spacing w:line="240" w:lineRule="auto"/>
      </w:pPr>
      <w:r>
        <w:separator/>
      </w:r>
    </w:p>
  </w:footnote>
  <w:footnote w:type="continuationSeparator" w:id="0">
    <w:p w14:paraId="40069B8A" w14:textId="77777777" w:rsidR="004B145D" w:rsidRDefault="004B14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C72E" w14:textId="77777777" w:rsidR="00AC0148" w:rsidRPr="00B367E9" w:rsidRDefault="00394CF6" w:rsidP="006E06A7">
    <w:pPr>
      <w:pStyle w:val="Header"/>
    </w:pPr>
    <w:r>
      <w:rPr>
        <w:noProof/>
        <w:lang w:eastAsia="en-AU"/>
      </w:rPr>
      <w:drawing>
        <wp:anchor distT="0" distB="0" distL="114300" distR="114300" simplePos="0" relativeHeight="251685888" behindDoc="0" locked="0" layoutInCell="1" allowOverlap="1" wp14:anchorId="1836C731" wp14:editId="1836C732">
          <wp:simplePos x="0" y="0"/>
          <wp:positionH relativeFrom="column">
            <wp:posOffset>-456837</wp:posOffset>
          </wp:positionH>
          <wp:positionV relativeFrom="paragraph">
            <wp:posOffset>-342900</wp:posOffset>
          </wp:positionV>
          <wp:extent cx="7664654" cy="1393293"/>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23204C41"/>
    <w:multiLevelType w:val="hybridMultilevel"/>
    <w:tmpl w:val="2E8C257A"/>
    <w:lvl w:ilvl="0" w:tplc="2D822FFE">
      <w:numFmt w:val="bullet"/>
      <w:lvlText w:val="-"/>
      <w:lvlJc w:val="left"/>
      <w:pPr>
        <w:ind w:left="720" w:hanging="360"/>
      </w:pPr>
      <w:rPr>
        <w:rFonts w:ascii="Arial" w:eastAsiaTheme="minorHAnsi" w:hAnsi="Arial" w:cs="Arial" w:hint="default"/>
      </w:rPr>
    </w:lvl>
    <w:lvl w:ilvl="1" w:tplc="35D6AE6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6529B"/>
    <w:multiLevelType w:val="hybridMultilevel"/>
    <w:tmpl w:val="BF98D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7DC4314"/>
    <w:multiLevelType w:val="multilevel"/>
    <w:tmpl w:val="2C38BA9C"/>
    <w:numStyleLink w:val="BASTCoPList"/>
  </w:abstractNum>
  <w:abstractNum w:abstractNumId="12"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3" w15:restartNumberingAfterBreak="0">
    <w:nsid w:val="5C091B82"/>
    <w:multiLevelType w:val="hybridMultilevel"/>
    <w:tmpl w:val="7F729E66"/>
    <w:lvl w:ilvl="0" w:tplc="3C8C50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B5108C"/>
    <w:multiLevelType w:val="hybridMultilevel"/>
    <w:tmpl w:val="A7B0A2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39409A"/>
    <w:multiLevelType w:val="multilevel"/>
    <w:tmpl w:val="AC70F576"/>
    <w:numStyleLink w:val="BulletList"/>
  </w:abstractNum>
  <w:num w:numId="1" w16cid:durableId="303004265">
    <w:abstractNumId w:val="3"/>
  </w:num>
  <w:num w:numId="2" w16cid:durableId="1852253275">
    <w:abstractNumId w:val="2"/>
  </w:num>
  <w:num w:numId="3" w16cid:durableId="869882036">
    <w:abstractNumId w:val="1"/>
  </w:num>
  <w:num w:numId="4" w16cid:durableId="94401812">
    <w:abstractNumId w:val="0"/>
  </w:num>
  <w:num w:numId="5" w16cid:durableId="1853639071">
    <w:abstractNumId w:val="5"/>
  </w:num>
  <w:num w:numId="6" w16cid:durableId="1425496878">
    <w:abstractNumId w:val="4"/>
  </w:num>
  <w:num w:numId="7" w16cid:durableId="1667518293">
    <w:abstractNumId w:val="9"/>
  </w:num>
  <w:num w:numId="8" w16cid:durableId="1015882170">
    <w:abstractNumId w:val="10"/>
  </w:num>
  <w:num w:numId="9" w16cid:durableId="1188059295">
    <w:abstractNumId w:val="11"/>
  </w:num>
  <w:num w:numId="10" w16cid:durableId="898251103">
    <w:abstractNumId w:val="15"/>
  </w:num>
  <w:num w:numId="11" w16cid:durableId="1478261712">
    <w:abstractNumId w:val="8"/>
  </w:num>
  <w:num w:numId="12" w16cid:durableId="1461413545">
    <w:abstractNumId w:val="12"/>
  </w:num>
  <w:num w:numId="13" w16cid:durableId="1391465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0365964">
    <w:abstractNumId w:val="6"/>
  </w:num>
  <w:num w:numId="15" w16cid:durableId="88427946">
    <w:abstractNumId w:val="13"/>
  </w:num>
  <w:num w:numId="16" w16cid:durableId="30804802">
    <w:abstractNumId w:val="14"/>
  </w:num>
  <w:num w:numId="17" w16cid:durableId="73335782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3413744">
    <w:abstractNumId w:val="15"/>
  </w:num>
  <w:num w:numId="19" w16cid:durableId="1061639157">
    <w:abstractNumId w:val="15"/>
  </w:num>
  <w:num w:numId="20" w16cid:durableId="665474522">
    <w:abstractNumId w:val="15"/>
  </w:num>
  <w:num w:numId="21" w16cid:durableId="13175680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44"/>
    <w:rsid w:val="000040AB"/>
    <w:rsid w:val="00005D4A"/>
    <w:rsid w:val="000064B9"/>
    <w:rsid w:val="00027634"/>
    <w:rsid w:val="000315D8"/>
    <w:rsid w:val="00041775"/>
    <w:rsid w:val="00047F19"/>
    <w:rsid w:val="00053615"/>
    <w:rsid w:val="0006740D"/>
    <w:rsid w:val="00070480"/>
    <w:rsid w:val="00070E7A"/>
    <w:rsid w:val="00072E91"/>
    <w:rsid w:val="0007427E"/>
    <w:rsid w:val="00094116"/>
    <w:rsid w:val="000942B0"/>
    <w:rsid w:val="000953F4"/>
    <w:rsid w:val="000A2D78"/>
    <w:rsid w:val="000C2E7D"/>
    <w:rsid w:val="000C3719"/>
    <w:rsid w:val="000D10CA"/>
    <w:rsid w:val="000D485E"/>
    <w:rsid w:val="000D50FB"/>
    <w:rsid w:val="000D7790"/>
    <w:rsid w:val="000E5D45"/>
    <w:rsid w:val="000E6AB2"/>
    <w:rsid w:val="001002B6"/>
    <w:rsid w:val="001003F5"/>
    <w:rsid w:val="00102831"/>
    <w:rsid w:val="00103E35"/>
    <w:rsid w:val="00105B53"/>
    <w:rsid w:val="00116986"/>
    <w:rsid w:val="001251B9"/>
    <w:rsid w:val="0012684A"/>
    <w:rsid w:val="001353F2"/>
    <w:rsid w:val="00137408"/>
    <w:rsid w:val="00144386"/>
    <w:rsid w:val="0014588F"/>
    <w:rsid w:val="00153A2C"/>
    <w:rsid w:val="00155DCA"/>
    <w:rsid w:val="00160255"/>
    <w:rsid w:val="001668BA"/>
    <w:rsid w:val="00174FF7"/>
    <w:rsid w:val="001864E5"/>
    <w:rsid w:val="00186E2B"/>
    <w:rsid w:val="001878AD"/>
    <w:rsid w:val="00195273"/>
    <w:rsid w:val="001968D7"/>
    <w:rsid w:val="001A102D"/>
    <w:rsid w:val="001A1E2E"/>
    <w:rsid w:val="001A53D7"/>
    <w:rsid w:val="001B58A6"/>
    <w:rsid w:val="001B6A6C"/>
    <w:rsid w:val="001C2B1D"/>
    <w:rsid w:val="001C725A"/>
    <w:rsid w:val="001F5E0B"/>
    <w:rsid w:val="001F6E93"/>
    <w:rsid w:val="0020201E"/>
    <w:rsid w:val="00203E4B"/>
    <w:rsid w:val="0020461A"/>
    <w:rsid w:val="0020669E"/>
    <w:rsid w:val="0021013E"/>
    <w:rsid w:val="002121DC"/>
    <w:rsid w:val="002131DC"/>
    <w:rsid w:val="0021611D"/>
    <w:rsid w:val="0021726B"/>
    <w:rsid w:val="0022095F"/>
    <w:rsid w:val="00222B2A"/>
    <w:rsid w:val="002271C7"/>
    <w:rsid w:val="00245394"/>
    <w:rsid w:val="002755EA"/>
    <w:rsid w:val="00283A8A"/>
    <w:rsid w:val="0028573B"/>
    <w:rsid w:val="0028666E"/>
    <w:rsid w:val="002878AA"/>
    <w:rsid w:val="00292CC6"/>
    <w:rsid w:val="002952DE"/>
    <w:rsid w:val="002A3D1F"/>
    <w:rsid w:val="002A4120"/>
    <w:rsid w:val="002A5B9B"/>
    <w:rsid w:val="002B0378"/>
    <w:rsid w:val="002B480E"/>
    <w:rsid w:val="002B49C0"/>
    <w:rsid w:val="002B59C6"/>
    <w:rsid w:val="002B6CCC"/>
    <w:rsid w:val="002C0082"/>
    <w:rsid w:val="002C2AD1"/>
    <w:rsid w:val="002C3C1B"/>
    <w:rsid w:val="002C5B3A"/>
    <w:rsid w:val="002D02B9"/>
    <w:rsid w:val="002D2ED8"/>
    <w:rsid w:val="002E0931"/>
    <w:rsid w:val="002E1418"/>
    <w:rsid w:val="002E5C10"/>
    <w:rsid w:val="002F02D5"/>
    <w:rsid w:val="0030004F"/>
    <w:rsid w:val="00311BDC"/>
    <w:rsid w:val="00314A83"/>
    <w:rsid w:val="00315318"/>
    <w:rsid w:val="003202B2"/>
    <w:rsid w:val="003377B0"/>
    <w:rsid w:val="00340A75"/>
    <w:rsid w:val="00343014"/>
    <w:rsid w:val="0035120C"/>
    <w:rsid w:val="00351A0A"/>
    <w:rsid w:val="00352A6B"/>
    <w:rsid w:val="00361217"/>
    <w:rsid w:val="003635A0"/>
    <w:rsid w:val="003644CD"/>
    <w:rsid w:val="00364F87"/>
    <w:rsid w:val="003715D2"/>
    <w:rsid w:val="00371A90"/>
    <w:rsid w:val="003727C2"/>
    <w:rsid w:val="003741B6"/>
    <w:rsid w:val="00380866"/>
    <w:rsid w:val="00381D18"/>
    <w:rsid w:val="00392389"/>
    <w:rsid w:val="00392F68"/>
    <w:rsid w:val="00393E86"/>
    <w:rsid w:val="00394CF6"/>
    <w:rsid w:val="00396604"/>
    <w:rsid w:val="003A0044"/>
    <w:rsid w:val="003A01D7"/>
    <w:rsid w:val="003A120F"/>
    <w:rsid w:val="003A3F88"/>
    <w:rsid w:val="003A7F81"/>
    <w:rsid w:val="003B2C18"/>
    <w:rsid w:val="003B6520"/>
    <w:rsid w:val="003C2973"/>
    <w:rsid w:val="003C3862"/>
    <w:rsid w:val="003C54CB"/>
    <w:rsid w:val="003C7044"/>
    <w:rsid w:val="003D1DF6"/>
    <w:rsid w:val="003D30CD"/>
    <w:rsid w:val="003D58CB"/>
    <w:rsid w:val="003D7701"/>
    <w:rsid w:val="003E28D9"/>
    <w:rsid w:val="003E33A4"/>
    <w:rsid w:val="003E7CFD"/>
    <w:rsid w:val="003F31DB"/>
    <w:rsid w:val="003F3CDE"/>
    <w:rsid w:val="004068E7"/>
    <w:rsid w:val="00410C4D"/>
    <w:rsid w:val="00413890"/>
    <w:rsid w:val="004323F9"/>
    <w:rsid w:val="0043299A"/>
    <w:rsid w:val="00433C46"/>
    <w:rsid w:val="00437D5A"/>
    <w:rsid w:val="004479F6"/>
    <w:rsid w:val="004573A6"/>
    <w:rsid w:val="00457DF2"/>
    <w:rsid w:val="00470D74"/>
    <w:rsid w:val="004775E9"/>
    <w:rsid w:val="00481925"/>
    <w:rsid w:val="00487E5A"/>
    <w:rsid w:val="0049229E"/>
    <w:rsid w:val="004929A0"/>
    <w:rsid w:val="004942EB"/>
    <w:rsid w:val="00494657"/>
    <w:rsid w:val="00495729"/>
    <w:rsid w:val="00496190"/>
    <w:rsid w:val="004A0303"/>
    <w:rsid w:val="004A1651"/>
    <w:rsid w:val="004A4D4D"/>
    <w:rsid w:val="004A57B3"/>
    <w:rsid w:val="004B0E7A"/>
    <w:rsid w:val="004B145D"/>
    <w:rsid w:val="004B4062"/>
    <w:rsid w:val="004B46AC"/>
    <w:rsid w:val="004C27D6"/>
    <w:rsid w:val="004C373C"/>
    <w:rsid w:val="004C664A"/>
    <w:rsid w:val="004D488E"/>
    <w:rsid w:val="004E1C77"/>
    <w:rsid w:val="004E409F"/>
    <w:rsid w:val="004F07C9"/>
    <w:rsid w:val="004F747C"/>
    <w:rsid w:val="004F77FB"/>
    <w:rsid w:val="004F7CD3"/>
    <w:rsid w:val="005107A5"/>
    <w:rsid w:val="00511B5F"/>
    <w:rsid w:val="00516F72"/>
    <w:rsid w:val="005225D4"/>
    <w:rsid w:val="00524E62"/>
    <w:rsid w:val="00527455"/>
    <w:rsid w:val="005320D1"/>
    <w:rsid w:val="00532CD2"/>
    <w:rsid w:val="005333CB"/>
    <w:rsid w:val="00533AA2"/>
    <w:rsid w:val="00554533"/>
    <w:rsid w:val="00555EC7"/>
    <w:rsid w:val="005566E9"/>
    <w:rsid w:val="00561599"/>
    <w:rsid w:val="0056185C"/>
    <w:rsid w:val="00564019"/>
    <w:rsid w:val="0058165A"/>
    <w:rsid w:val="0058380F"/>
    <w:rsid w:val="0058419A"/>
    <w:rsid w:val="005935B8"/>
    <w:rsid w:val="0059509E"/>
    <w:rsid w:val="005A1AAA"/>
    <w:rsid w:val="005A21F9"/>
    <w:rsid w:val="005A3427"/>
    <w:rsid w:val="005B31E3"/>
    <w:rsid w:val="005B5E1A"/>
    <w:rsid w:val="005B6D2F"/>
    <w:rsid w:val="005B7C85"/>
    <w:rsid w:val="005C2838"/>
    <w:rsid w:val="005E1A66"/>
    <w:rsid w:val="00613644"/>
    <w:rsid w:val="00627E19"/>
    <w:rsid w:val="00630F76"/>
    <w:rsid w:val="00632D04"/>
    <w:rsid w:val="00644D6B"/>
    <w:rsid w:val="006478AC"/>
    <w:rsid w:val="00651662"/>
    <w:rsid w:val="006660C0"/>
    <w:rsid w:val="006663F7"/>
    <w:rsid w:val="00673F74"/>
    <w:rsid w:val="00675D75"/>
    <w:rsid w:val="00681ED8"/>
    <w:rsid w:val="00691189"/>
    <w:rsid w:val="00691899"/>
    <w:rsid w:val="00692C5A"/>
    <w:rsid w:val="00696162"/>
    <w:rsid w:val="006A3271"/>
    <w:rsid w:val="006A332E"/>
    <w:rsid w:val="006A4835"/>
    <w:rsid w:val="006A74C8"/>
    <w:rsid w:val="006B6848"/>
    <w:rsid w:val="006C1D99"/>
    <w:rsid w:val="006E06A7"/>
    <w:rsid w:val="006E6873"/>
    <w:rsid w:val="006F7286"/>
    <w:rsid w:val="00707631"/>
    <w:rsid w:val="00716B52"/>
    <w:rsid w:val="007176D9"/>
    <w:rsid w:val="00736043"/>
    <w:rsid w:val="00741521"/>
    <w:rsid w:val="007479AC"/>
    <w:rsid w:val="00767E74"/>
    <w:rsid w:val="00772359"/>
    <w:rsid w:val="00785033"/>
    <w:rsid w:val="00785381"/>
    <w:rsid w:val="00786810"/>
    <w:rsid w:val="00787C4B"/>
    <w:rsid w:val="007957AB"/>
    <w:rsid w:val="0079587B"/>
    <w:rsid w:val="00796555"/>
    <w:rsid w:val="007A2AB3"/>
    <w:rsid w:val="007A7745"/>
    <w:rsid w:val="007B07F5"/>
    <w:rsid w:val="007B15DF"/>
    <w:rsid w:val="007B38A2"/>
    <w:rsid w:val="007C09DE"/>
    <w:rsid w:val="007C2448"/>
    <w:rsid w:val="007D2EC9"/>
    <w:rsid w:val="007D3C50"/>
    <w:rsid w:val="007D40C5"/>
    <w:rsid w:val="007E5D46"/>
    <w:rsid w:val="007E5F88"/>
    <w:rsid w:val="007E70B3"/>
    <w:rsid w:val="007F0ECE"/>
    <w:rsid w:val="007F35FF"/>
    <w:rsid w:val="007F3E63"/>
    <w:rsid w:val="00803AA9"/>
    <w:rsid w:val="00803CE8"/>
    <w:rsid w:val="00804578"/>
    <w:rsid w:val="008119A7"/>
    <w:rsid w:val="0082216D"/>
    <w:rsid w:val="00825F76"/>
    <w:rsid w:val="00827009"/>
    <w:rsid w:val="00835CA4"/>
    <w:rsid w:val="00837F36"/>
    <w:rsid w:val="00851C86"/>
    <w:rsid w:val="008530FE"/>
    <w:rsid w:val="00860ED1"/>
    <w:rsid w:val="00862CAC"/>
    <w:rsid w:val="00867A53"/>
    <w:rsid w:val="00876A89"/>
    <w:rsid w:val="00880F9D"/>
    <w:rsid w:val="00894D36"/>
    <w:rsid w:val="00895ED0"/>
    <w:rsid w:val="0089731A"/>
    <w:rsid w:val="00897E7C"/>
    <w:rsid w:val="008A6A06"/>
    <w:rsid w:val="008B14C0"/>
    <w:rsid w:val="008C1946"/>
    <w:rsid w:val="008D19D9"/>
    <w:rsid w:val="008D395F"/>
    <w:rsid w:val="008E0FD1"/>
    <w:rsid w:val="008F56A6"/>
    <w:rsid w:val="00900B38"/>
    <w:rsid w:val="009032B6"/>
    <w:rsid w:val="00903707"/>
    <w:rsid w:val="00906A8B"/>
    <w:rsid w:val="009076F5"/>
    <w:rsid w:val="0091104F"/>
    <w:rsid w:val="0091651A"/>
    <w:rsid w:val="009236E9"/>
    <w:rsid w:val="00923E06"/>
    <w:rsid w:val="00926502"/>
    <w:rsid w:val="00936071"/>
    <w:rsid w:val="00940DBD"/>
    <w:rsid w:val="00950232"/>
    <w:rsid w:val="00951C39"/>
    <w:rsid w:val="009534D0"/>
    <w:rsid w:val="00953878"/>
    <w:rsid w:val="00953EB3"/>
    <w:rsid w:val="009571E6"/>
    <w:rsid w:val="009719A4"/>
    <w:rsid w:val="0097557C"/>
    <w:rsid w:val="009829AD"/>
    <w:rsid w:val="00986C91"/>
    <w:rsid w:val="00996738"/>
    <w:rsid w:val="009A20EC"/>
    <w:rsid w:val="009A7E56"/>
    <w:rsid w:val="009B7ACE"/>
    <w:rsid w:val="009C3D26"/>
    <w:rsid w:val="009C526E"/>
    <w:rsid w:val="009D4BD3"/>
    <w:rsid w:val="009E4AE6"/>
    <w:rsid w:val="009E6F19"/>
    <w:rsid w:val="009E7427"/>
    <w:rsid w:val="00A002C5"/>
    <w:rsid w:val="00A01B1B"/>
    <w:rsid w:val="00A01E3C"/>
    <w:rsid w:val="00A049A7"/>
    <w:rsid w:val="00A05DF5"/>
    <w:rsid w:val="00A14138"/>
    <w:rsid w:val="00A261CB"/>
    <w:rsid w:val="00A3203E"/>
    <w:rsid w:val="00A41D10"/>
    <w:rsid w:val="00A421FA"/>
    <w:rsid w:val="00A5025A"/>
    <w:rsid w:val="00A57830"/>
    <w:rsid w:val="00A6492E"/>
    <w:rsid w:val="00A669FA"/>
    <w:rsid w:val="00A67FAE"/>
    <w:rsid w:val="00A70033"/>
    <w:rsid w:val="00A70674"/>
    <w:rsid w:val="00A71AD1"/>
    <w:rsid w:val="00A738EF"/>
    <w:rsid w:val="00A8165C"/>
    <w:rsid w:val="00A849A5"/>
    <w:rsid w:val="00A908EC"/>
    <w:rsid w:val="00A922F7"/>
    <w:rsid w:val="00A975C1"/>
    <w:rsid w:val="00AB141B"/>
    <w:rsid w:val="00AB552B"/>
    <w:rsid w:val="00AC0148"/>
    <w:rsid w:val="00AC428A"/>
    <w:rsid w:val="00AD0ED7"/>
    <w:rsid w:val="00AD2439"/>
    <w:rsid w:val="00AE72A8"/>
    <w:rsid w:val="00AE7D41"/>
    <w:rsid w:val="00AF613B"/>
    <w:rsid w:val="00AF6DA0"/>
    <w:rsid w:val="00AF7EE7"/>
    <w:rsid w:val="00B1195A"/>
    <w:rsid w:val="00B11A6E"/>
    <w:rsid w:val="00B2210B"/>
    <w:rsid w:val="00B3074A"/>
    <w:rsid w:val="00B32E5D"/>
    <w:rsid w:val="00B330FC"/>
    <w:rsid w:val="00B367E9"/>
    <w:rsid w:val="00B40B7F"/>
    <w:rsid w:val="00B43315"/>
    <w:rsid w:val="00B468AB"/>
    <w:rsid w:val="00B517A5"/>
    <w:rsid w:val="00B60A4B"/>
    <w:rsid w:val="00B62558"/>
    <w:rsid w:val="00B662D4"/>
    <w:rsid w:val="00B855B7"/>
    <w:rsid w:val="00B9099B"/>
    <w:rsid w:val="00B94043"/>
    <w:rsid w:val="00B95489"/>
    <w:rsid w:val="00BA195A"/>
    <w:rsid w:val="00BB4B96"/>
    <w:rsid w:val="00BB6412"/>
    <w:rsid w:val="00BC1F40"/>
    <w:rsid w:val="00BC2232"/>
    <w:rsid w:val="00BD00B3"/>
    <w:rsid w:val="00BD3DC3"/>
    <w:rsid w:val="00BE39F7"/>
    <w:rsid w:val="00BE5BCD"/>
    <w:rsid w:val="00BF2E4C"/>
    <w:rsid w:val="00BF3010"/>
    <w:rsid w:val="00BF541F"/>
    <w:rsid w:val="00BF5FF6"/>
    <w:rsid w:val="00C003B6"/>
    <w:rsid w:val="00C026C0"/>
    <w:rsid w:val="00C048E8"/>
    <w:rsid w:val="00C062AC"/>
    <w:rsid w:val="00C15567"/>
    <w:rsid w:val="00C24B0D"/>
    <w:rsid w:val="00C27552"/>
    <w:rsid w:val="00C27702"/>
    <w:rsid w:val="00C32F99"/>
    <w:rsid w:val="00C33257"/>
    <w:rsid w:val="00C34BAD"/>
    <w:rsid w:val="00C40483"/>
    <w:rsid w:val="00C42A40"/>
    <w:rsid w:val="00C43B95"/>
    <w:rsid w:val="00C45F23"/>
    <w:rsid w:val="00C51173"/>
    <w:rsid w:val="00C534C0"/>
    <w:rsid w:val="00C63F87"/>
    <w:rsid w:val="00C762B2"/>
    <w:rsid w:val="00C76DEA"/>
    <w:rsid w:val="00C80932"/>
    <w:rsid w:val="00C8604B"/>
    <w:rsid w:val="00CA7FEC"/>
    <w:rsid w:val="00CC09BC"/>
    <w:rsid w:val="00CD6EDC"/>
    <w:rsid w:val="00CF7097"/>
    <w:rsid w:val="00D00425"/>
    <w:rsid w:val="00D01D2A"/>
    <w:rsid w:val="00D053E8"/>
    <w:rsid w:val="00D05558"/>
    <w:rsid w:val="00D2518C"/>
    <w:rsid w:val="00D4097B"/>
    <w:rsid w:val="00D4171E"/>
    <w:rsid w:val="00D43386"/>
    <w:rsid w:val="00D45DD8"/>
    <w:rsid w:val="00D518CC"/>
    <w:rsid w:val="00D607B7"/>
    <w:rsid w:val="00D656F8"/>
    <w:rsid w:val="00D67213"/>
    <w:rsid w:val="00D706BD"/>
    <w:rsid w:val="00D7190D"/>
    <w:rsid w:val="00D723FB"/>
    <w:rsid w:val="00D7554C"/>
    <w:rsid w:val="00D805D4"/>
    <w:rsid w:val="00D80937"/>
    <w:rsid w:val="00D838A2"/>
    <w:rsid w:val="00D9264C"/>
    <w:rsid w:val="00D945F9"/>
    <w:rsid w:val="00D958AF"/>
    <w:rsid w:val="00DB1290"/>
    <w:rsid w:val="00DB61AB"/>
    <w:rsid w:val="00DC0CF1"/>
    <w:rsid w:val="00DC749F"/>
    <w:rsid w:val="00DD026C"/>
    <w:rsid w:val="00DD1764"/>
    <w:rsid w:val="00DD5B6F"/>
    <w:rsid w:val="00DE4402"/>
    <w:rsid w:val="00DE59A7"/>
    <w:rsid w:val="00DE6640"/>
    <w:rsid w:val="00DF4843"/>
    <w:rsid w:val="00DF61E7"/>
    <w:rsid w:val="00DF6528"/>
    <w:rsid w:val="00E0314A"/>
    <w:rsid w:val="00E0474A"/>
    <w:rsid w:val="00E16DE7"/>
    <w:rsid w:val="00E21C0A"/>
    <w:rsid w:val="00E2249E"/>
    <w:rsid w:val="00E35024"/>
    <w:rsid w:val="00E35C09"/>
    <w:rsid w:val="00E43509"/>
    <w:rsid w:val="00E47D9F"/>
    <w:rsid w:val="00E523D1"/>
    <w:rsid w:val="00E5279E"/>
    <w:rsid w:val="00E55322"/>
    <w:rsid w:val="00E60FAE"/>
    <w:rsid w:val="00E62E89"/>
    <w:rsid w:val="00E803F0"/>
    <w:rsid w:val="00E84BFF"/>
    <w:rsid w:val="00E87AC3"/>
    <w:rsid w:val="00E90784"/>
    <w:rsid w:val="00E93D38"/>
    <w:rsid w:val="00E969A6"/>
    <w:rsid w:val="00EA4710"/>
    <w:rsid w:val="00EB07C3"/>
    <w:rsid w:val="00EB10AB"/>
    <w:rsid w:val="00EB7625"/>
    <w:rsid w:val="00EC05E8"/>
    <w:rsid w:val="00EC408F"/>
    <w:rsid w:val="00ED17CD"/>
    <w:rsid w:val="00EE321A"/>
    <w:rsid w:val="00EE488D"/>
    <w:rsid w:val="00EF47AC"/>
    <w:rsid w:val="00F065A3"/>
    <w:rsid w:val="00F172F7"/>
    <w:rsid w:val="00F35531"/>
    <w:rsid w:val="00F36B7B"/>
    <w:rsid w:val="00F423CE"/>
    <w:rsid w:val="00F53719"/>
    <w:rsid w:val="00F54A89"/>
    <w:rsid w:val="00F60BE6"/>
    <w:rsid w:val="00F67690"/>
    <w:rsid w:val="00F70DE1"/>
    <w:rsid w:val="00F728F2"/>
    <w:rsid w:val="00F7437B"/>
    <w:rsid w:val="00F7445D"/>
    <w:rsid w:val="00F81311"/>
    <w:rsid w:val="00F818DE"/>
    <w:rsid w:val="00F822ED"/>
    <w:rsid w:val="00F82399"/>
    <w:rsid w:val="00F8493A"/>
    <w:rsid w:val="00F87324"/>
    <w:rsid w:val="00F94AB1"/>
    <w:rsid w:val="00FA053F"/>
    <w:rsid w:val="00FA6CA0"/>
    <w:rsid w:val="00FB069F"/>
    <w:rsid w:val="00FB560E"/>
    <w:rsid w:val="00FB6E0A"/>
    <w:rsid w:val="00FC1EF3"/>
    <w:rsid w:val="00FC41DA"/>
    <w:rsid w:val="00FC7626"/>
    <w:rsid w:val="00FE16A2"/>
    <w:rsid w:val="00FE2830"/>
    <w:rsid w:val="00FE4DF2"/>
    <w:rsid w:val="00FF354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6C6D6"/>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10"/>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4A57B3"/>
    <w:pPr>
      <w:spacing w:before="100" w:after="100" w:line="240" w:lineRule="atLeast"/>
      <w:jc w:val="both"/>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paragraph" w:styleId="ListParagraph">
    <w:name w:val="List Paragraph"/>
    <w:basedOn w:val="Normal"/>
    <w:uiPriority w:val="34"/>
    <w:qFormat/>
    <w:rsid w:val="00561599"/>
    <w:pPr>
      <w:ind w:left="720"/>
      <w:contextualSpacing/>
    </w:pPr>
  </w:style>
  <w:style w:type="character" w:styleId="CommentReference">
    <w:name w:val="annotation reference"/>
    <w:basedOn w:val="DefaultParagraphFont"/>
    <w:uiPriority w:val="99"/>
    <w:semiHidden/>
    <w:unhideWhenUsed/>
    <w:rsid w:val="00C32F99"/>
    <w:rPr>
      <w:sz w:val="16"/>
      <w:szCs w:val="16"/>
    </w:rPr>
  </w:style>
  <w:style w:type="paragraph" w:styleId="Revision">
    <w:name w:val="Revision"/>
    <w:hidden/>
    <w:uiPriority w:val="99"/>
    <w:semiHidden/>
    <w:rsid w:val="00396604"/>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691899"/>
    <w:rPr>
      <w:color w:val="8D009F" w:themeColor="followedHyperlink"/>
      <w:u w:val="single"/>
    </w:rPr>
  </w:style>
  <w:style w:type="character" w:styleId="UnresolvedMention">
    <w:name w:val="Unresolved Mention"/>
    <w:basedOn w:val="DefaultParagraphFont"/>
    <w:uiPriority w:val="99"/>
    <w:semiHidden/>
    <w:unhideWhenUsed/>
    <w:rsid w:val="004F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722">
      <w:bodyDiv w:val="1"/>
      <w:marLeft w:val="0"/>
      <w:marRight w:val="0"/>
      <w:marTop w:val="0"/>
      <w:marBottom w:val="0"/>
      <w:divBdr>
        <w:top w:val="none" w:sz="0" w:space="0" w:color="auto"/>
        <w:left w:val="none" w:sz="0" w:space="0" w:color="auto"/>
        <w:bottom w:val="none" w:sz="0" w:space="0" w:color="auto"/>
        <w:right w:val="none" w:sz="0" w:space="0" w:color="auto"/>
      </w:divBdr>
    </w:div>
    <w:div w:id="148980496">
      <w:bodyDiv w:val="1"/>
      <w:marLeft w:val="0"/>
      <w:marRight w:val="0"/>
      <w:marTop w:val="0"/>
      <w:marBottom w:val="0"/>
      <w:divBdr>
        <w:top w:val="none" w:sz="0" w:space="0" w:color="auto"/>
        <w:left w:val="none" w:sz="0" w:space="0" w:color="auto"/>
        <w:bottom w:val="none" w:sz="0" w:space="0" w:color="auto"/>
        <w:right w:val="none" w:sz="0" w:space="0" w:color="auto"/>
      </w:divBdr>
    </w:div>
    <w:div w:id="1795908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455106558">
      <w:bodyDiv w:val="1"/>
      <w:marLeft w:val="0"/>
      <w:marRight w:val="0"/>
      <w:marTop w:val="0"/>
      <w:marBottom w:val="0"/>
      <w:divBdr>
        <w:top w:val="none" w:sz="0" w:space="0" w:color="auto"/>
        <w:left w:val="none" w:sz="0" w:space="0" w:color="auto"/>
        <w:bottom w:val="none" w:sz="0" w:space="0" w:color="auto"/>
        <w:right w:val="none" w:sz="0" w:space="0" w:color="auto"/>
      </w:divBdr>
    </w:div>
    <w:div w:id="89033767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951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Pages/HomePage.aspx" TargetMode="External"/><Relationship Id="rId18" Type="http://schemas.openxmlformats.org/officeDocument/2006/relationships/hyperlink" Target="https://www.study.vic.gov.au/Shared%20Documents/en/School_Toolkit/ISP_Course_Progress_Procedure.docx" TargetMode="External"/><Relationship Id="rId26" Type="http://schemas.openxmlformats.org/officeDocument/2006/relationships/hyperlink" Target="https://www.study.vic.gov.au/Shared%20Documents/en/School_Toolkit/ISP_Record_Keeping_Procedural_Guidelines.docx" TargetMode="External"/><Relationship Id="rId39" Type="http://schemas.openxmlformats.org/officeDocument/2006/relationships/hyperlink" Target="https://www.study.vic.gov.au/Shared%20Documents/en/School_Toolkit/ISP_Accommodation_and_Welfare_Policy.docx" TargetMode="External"/><Relationship Id="rId21" Type="http://schemas.openxmlformats.org/officeDocument/2006/relationships/hyperlink" Target="https://www.study.vic.gov.au/Shared%20Documents/en/School_Toolkit/ISP_Student_Initiated_Deferral_Suspension_and_Cancellation_Policy.docx" TargetMode="External"/><Relationship Id="rId34" Type="http://schemas.openxmlformats.org/officeDocument/2006/relationships/hyperlink" Target="https://study.vic.gov.au/Shared%20Documents/en/School_Toolkit/ISP_Compliance_Contract_Template.docx" TargetMode="External"/><Relationship Id="rId42" Type="http://schemas.openxmlformats.org/officeDocument/2006/relationships/hyperlink" Target="mailto:international.school.support@education.vic.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udy.vic.gov.au/en/study-in-victoria/victoria%27s-school-system/Pages/learning-english.aspx" TargetMode="External"/><Relationship Id="rId29" Type="http://schemas.openxmlformats.org/officeDocument/2006/relationships/hyperlink" Target="https://www.study.vic.gov.au/Shared%20Documents/en/School_Toolkit/ISP_Complaints_and_Appeals_Policy.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porting-student-achievement/policy" TargetMode="External"/><Relationship Id="rId24" Type="http://schemas.openxmlformats.org/officeDocument/2006/relationships/hyperlink" Target="https://www.study.vic.gov.au/Shared%20Documents/en/School_Toolkit/ISP_Course_Progress_and_Attendance_Meeting_Template.docx" TargetMode="External"/><Relationship Id="rId32" Type="http://schemas.openxmlformats.org/officeDocument/2006/relationships/hyperlink" Target="https://www.study.vic.gov.au/Shared%20Documents/en/School_Toolkit/ISP_Course_Progress_Attendance_and_Behaviour_Checklist_Template.docx" TargetMode="External"/><Relationship Id="rId37" Type="http://schemas.openxmlformats.org/officeDocument/2006/relationships/hyperlink" Target="https://www.study.vic.gov.au/Shared%20Documents/en/School_Toolkit/ISP_Record_Keeping_Procedural_Guidelines.docx" TargetMode="External"/><Relationship Id="rId40" Type="http://schemas.openxmlformats.org/officeDocument/2006/relationships/hyperlink" Target="https://www2.education.vic.gov.au/pal/reporting-student-achievement/policy"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udy.vic.gov.au/en/study-in-victoria/victoria%27s-school-system/Pages/learning-english.aspx" TargetMode="External"/><Relationship Id="rId23" Type="http://schemas.openxmlformats.org/officeDocument/2006/relationships/hyperlink" Target="https://www.study.vic.gov.au/Shared%20Documents/en/School_Toolkit/ISP_Course_Progress_Attendance_and_Behaviour_Checklist_Template.docx" TargetMode="External"/><Relationship Id="rId28" Type="http://schemas.openxmlformats.org/officeDocument/2006/relationships/hyperlink" Target="https://www.study.vic.gov.au/Shared%20Documents/en/School_Toolkit/ISP_Course_Progress_Procedure.docx" TargetMode="External"/><Relationship Id="rId36" Type="http://schemas.openxmlformats.org/officeDocument/2006/relationships/hyperlink" Target="https://www.study.vic.gov.au/Shared%20Documents/en/School_Toolkit/ISP_Student_Initiated_Deferral_Suspension_and_Cancellation_Policy.docx" TargetMode="External"/><Relationship Id="rId10" Type="http://schemas.openxmlformats.org/officeDocument/2006/relationships/endnotes" Target="endnotes.xml"/><Relationship Id="rId19" Type="http://schemas.openxmlformats.org/officeDocument/2006/relationships/hyperlink" Target="https://study.vic.gov.au/Shared%20Documents/en/School_Toolkit/ISP_CLS_Policy.docx" TargetMode="External"/><Relationship Id="rId31" Type="http://schemas.openxmlformats.org/officeDocument/2006/relationships/hyperlink" Target="https://www.study.vic.gov.au/Shared%20Documents/en/School_Toolkit/ISP_Course_Progress_Procedure.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Record_Keeping_Procedural_Guidelines.docx" TargetMode="External"/><Relationship Id="rId22" Type="http://schemas.openxmlformats.org/officeDocument/2006/relationships/hyperlink" Target="https://www.study.vic.gov.au/Shared%20Documents/en/School_Toolkit/ISP_Course_Progress_Procedure.docx" TargetMode="External"/><Relationship Id="rId27" Type="http://schemas.openxmlformats.org/officeDocument/2006/relationships/hyperlink" Target="https://www.study.vic.gov.au/Shared%20Documents/en/School_Toolkit/ISP_Course_Progress_Procedure.docx" TargetMode="External"/><Relationship Id="rId30" Type="http://schemas.openxmlformats.org/officeDocument/2006/relationships/hyperlink" Target="https://www.study.vic.gov.au/Shared%20Documents/en/School_Toolkit/ISP_Accommodation_and_Welfare_Policy.docx" TargetMode="External"/><Relationship Id="rId35" Type="http://schemas.openxmlformats.org/officeDocument/2006/relationships/hyperlink" Target="https://www.study.vic.gov.au/Shared%20Documents/en/School_Toolkit/ISP_Complaints_and_Appeals_Policy.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international-student-program/guidance/supporting-students-learning-and-engagement-section-7" TargetMode="External"/><Relationship Id="rId17" Type="http://schemas.openxmlformats.org/officeDocument/2006/relationships/hyperlink" Target="https://www.study.vic.gov.au/en/study-in-victoria/victoria%27s-school-system/Pages/learning-english.aspx" TargetMode="External"/><Relationship Id="rId25" Type="http://schemas.openxmlformats.org/officeDocument/2006/relationships/hyperlink" Target="https://study.vic.gov.au/Shared%20Documents/en/School_Toolkit/ISP_Compliance_Contract_Template.docx" TargetMode="External"/><Relationship Id="rId33" Type="http://schemas.openxmlformats.org/officeDocument/2006/relationships/hyperlink" Target="https://www.study.vic.gov.au/Shared%20Documents/en/School_Toolkit/ISP_Course_Progress_and_Attendance_Meeting_Template.docx" TargetMode="External"/><Relationship Id="rId38" Type="http://schemas.openxmlformats.org/officeDocument/2006/relationships/hyperlink" Target="https://study.vic.gov.au/Shared%20Documents/en/School_Toolkit/ISP_CLS_Policy.docx" TargetMode="External"/><Relationship Id="rId46" Type="http://schemas.openxmlformats.org/officeDocument/2006/relationships/fontTable" Target="fontTable.xml"/><Relationship Id="rId20" Type="http://schemas.openxmlformats.org/officeDocument/2006/relationships/hyperlink" Target="https://www.study.vic.gov.au/Shared%20Documents/en/School_Toolkit/ISP_VET_Policy.docx" TargetMode="External"/><Relationship Id="rId41" Type="http://schemas.openxmlformats.org/officeDocument/2006/relationships/hyperlink" Target="https://www.study.vic.gov.au/Shared%20Documents/en/School_Toolkit/ISP_Record_Keeping_Procedural_Guidelines.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9C49-F5C6-43C1-8B8A-380D819A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D6040-EEA8-4C2D-B238-3D03427AD2FB}">
  <ds:schemaRefs>
    <ds:schemaRef ds:uri="http://purl.org/dc/elements/1.1/"/>
    <ds:schemaRef ds:uri="http://purl.org/dc/terms/"/>
    <ds:schemaRef ds:uri="http://purl.org/dc/dcmitype/"/>
    <ds:schemaRef ds:uri="http://schemas.microsoft.com/sharepoint/v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A4EDE43-8503-4BF8-968B-153243EBCCD3}">
  <ds:schemaRefs>
    <ds:schemaRef ds:uri="http://schemas.openxmlformats.org/officeDocument/2006/bibliography"/>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Template>
  <TotalTime>8</TotalTime>
  <Pages>5</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9</cp:revision>
  <cp:lastPrinted>2019-07-22T23:58:00Z</cp:lastPrinted>
  <dcterms:created xsi:type="dcterms:W3CDTF">2023-05-18T00:21:00Z</dcterms:created>
  <dcterms:modified xsi:type="dcterms:W3CDTF">2023-07-04T03:09:00Z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{9bb07a33-857b-4e6a-b7af-4b62190231ac}</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R20230193549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2023-05-02T17:20:31.5590804+10:00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DET_EDRMS_RCSTaxHTField0">
    <vt:lpwstr>13.1.2 Internal Policy|ad985a07-89db-41e4-84da-e1a6cef79014</vt:lpwstr>
  </property>
</Properties>
</file>