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1DE8" w14:textId="77CB9DF5" w:rsidR="00D9063F" w:rsidRDefault="00FA4664" w:rsidP="001F7FD9">
      <w:pPr>
        <w:pStyle w:val="Heading1"/>
      </w:pPr>
      <w:bookmarkStart w:id="0" w:name="_Toc489966473"/>
      <w:bookmarkStart w:id="1" w:name="_Toc489972311"/>
      <w:r>
        <w:t>IS</w:t>
      </w:r>
      <w:r w:rsidR="00D237FD">
        <w:t xml:space="preserve">P </w:t>
      </w:r>
      <w:r w:rsidR="00920876">
        <w:t xml:space="preserve">School Critical Incident </w:t>
      </w:r>
      <w:r w:rsidR="00D237FD">
        <w:t>Checklist</w:t>
      </w:r>
    </w:p>
    <w:p w14:paraId="1DDC2AF2" w14:textId="77777777" w:rsidR="00D9063F" w:rsidRDefault="00D9063F" w:rsidP="00D9063F">
      <w:pPr>
        <w:pStyle w:val="Heading2"/>
      </w:pPr>
      <w:r>
        <w:t>Purpose</w:t>
      </w:r>
    </w:p>
    <w:p w14:paraId="20FEF181" w14:textId="7316BE08" w:rsidR="00BF2B4F" w:rsidRDefault="00920876" w:rsidP="00BF2B4F">
      <w:r>
        <w:t>T</w:t>
      </w:r>
      <w:r w:rsidR="008B1CC6">
        <w:t xml:space="preserve">he </w:t>
      </w:r>
      <w:r w:rsidR="00450A3A">
        <w:t>p</w:t>
      </w:r>
      <w:r w:rsidR="008B1CC6">
        <w:t>rincipal (or delegate) manage</w:t>
      </w:r>
      <w:r w:rsidR="00BF2B4F">
        <w:t>s</w:t>
      </w:r>
      <w:r w:rsidR="008B1CC6">
        <w:t xml:space="preserve"> </w:t>
      </w:r>
      <w:r>
        <w:t xml:space="preserve">critical </w:t>
      </w:r>
      <w:r w:rsidR="008B1CC6">
        <w:t>incident</w:t>
      </w:r>
      <w:r w:rsidR="00BF2B4F">
        <w:t>s</w:t>
      </w:r>
      <w:r w:rsidR="008B1CC6">
        <w:t xml:space="preserve"> consistent with the steps outlined in the </w:t>
      </w:r>
      <w:hyperlink r:id="rId12" w:history="1">
        <w:r w:rsidR="00E34930" w:rsidRPr="005356DE">
          <w:rPr>
            <w:rStyle w:val="Hyperlink"/>
          </w:rPr>
          <w:t>Schools Incident Management System (SIMS) Policy and Guidelines</w:t>
        </w:r>
      </w:hyperlink>
      <w:r w:rsidR="008B1CC6">
        <w:t>.</w:t>
      </w:r>
      <w:r w:rsidR="00BF2B4F">
        <w:t xml:space="preserve"> </w:t>
      </w:r>
      <w:r>
        <w:t xml:space="preserve">This checklist </w:t>
      </w:r>
      <w:r w:rsidRPr="005356DE">
        <w:t>complement</w:t>
      </w:r>
      <w:r>
        <w:t>s</w:t>
      </w:r>
      <w:r w:rsidRPr="005356DE">
        <w:t xml:space="preserve"> SIMS</w:t>
      </w:r>
      <w:r>
        <w:t xml:space="preserve"> and is t</w:t>
      </w:r>
      <w:r w:rsidRPr="00920876">
        <w:t>o</w:t>
      </w:r>
      <w:r>
        <w:t xml:space="preserve"> be used by school staff to record </w:t>
      </w:r>
      <w:r w:rsidRPr="00920876">
        <w:t xml:space="preserve">any </w:t>
      </w:r>
      <w:r>
        <w:t xml:space="preserve">international student </w:t>
      </w:r>
      <w:r w:rsidRPr="00920876">
        <w:t>critical incident</w:t>
      </w:r>
      <w:r>
        <w:t>s</w:t>
      </w:r>
      <w:r w:rsidRPr="00920876">
        <w:t xml:space="preserve"> </w:t>
      </w:r>
      <w:r w:rsidR="00601E3A">
        <w:t>including details of</w:t>
      </w:r>
      <w:r w:rsidR="00601E3A" w:rsidRPr="00920876">
        <w:t xml:space="preserve"> </w:t>
      </w:r>
      <w:r>
        <w:t xml:space="preserve">the </w:t>
      </w:r>
      <w:r w:rsidRPr="00920876">
        <w:t>remedial action</w:t>
      </w:r>
      <w:r>
        <w:t>s</w:t>
      </w:r>
      <w:r w:rsidRPr="00920876">
        <w:t xml:space="preserve"> taken.</w:t>
      </w:r>
      <w:r>
        <w:t xml:space="preserve"> </w:t>
      </w:r>
    </w:p>
    <w:p w14:paraId="64DABA8E" w14:textId="0825965B" w:rsidR="00920876" w:rsidRDefault="00BF2B4F" w:rsidP="00BF2B4F">
      <w:r>
        <w:t>Once completed, this</w:t>
      </w:r>
      <w:r w:rsidR="00920876" w:rsidRPr="00920876">
        <w:t xml:space="preserve"> checklist must be stored in the student file</w:t>
      </w:r>
      <w:r>
        <w:t>,</w:t>
      </w:r>
      <w:r w:rsidR="00920876">
        <w:t xml:space="preserve"> </w:t>
      </w:r>
      <w:r>
        <w:t xml:space="preserve">and maintained </w:t>
      </w:r>
      <w:r w:rsidR="00920876" w:rsidRPr="00920876">
        <w:t xml:space="preserve">in accordance with the </w:t>
      </w:r>
      <w:hyperlink r:id="rId13" w:history="1">
        <w:r w:rsidR="00920876" w:rsidRPr="00920876">
          <w:rPr>
            <w:rStyle w:val="Hyperlink"/>
          </w:rPr>
          <w:t>Sc</w:t>
        </w:r>
        <w:r w:rsidR="00012907">
          <w:rPr>
            <w:rStyle w:val="Hyperlink"/>
          </w:rPr>
          <w:t>hool</w:t>
        </w:r>
        <w:r w:rsidR="00920876" w:rsidRPr="00920876">
          <w:rPr>
            <w:rStyle w:val="Hyperlink"/>
          </w:rPr>
          <w:t xml:space="preserve"> </w:t>
        </w:r>
        <w:r w:rsidR="00AE3DB4">
          <w:rPr>
            <w:rStyle w:val="Hyperlink"/>
          </w:rPr>
          <w:t xml:space="preserve">Privacy and </w:t>
        </w:r>
        <w:r w:rsidR="00920876" w:rsidRPr="00920876">
          <w:rPr>
            <w:rStyle w:val="Hyperlink"/>
          </w:rPr>
          <w:t xml:space="preserve">Information </w:t>
        </w:r>
        <w:r w:rsidR="00AE3DB4">
          <w:rPr>
            <w:rStyle w:val="Hyperlink"/>
          </w:rPr>
          <w:t xml:space="preserve">Sharing </w:t>
        </w:r>
        <w:r w:rsidR="00920876" w:rsidRPr="00920876">
          <w:rPr>
            <w:rStyle w:val="Hyperlink"/>
          </w:rPr>
          <w:t>Policy</w:t>
        </w:r>
      </w:hyperlink>
      <w:r w:rsidR="00920876" w:rsidRPr="00920876">
        <w:t>.</w:t>
      </w:r>
    </w:p>
    <w:p w14:paraId="16F64179" w14:textId="77777777" w:rsidR="00FA4664" w:rsidRDefault="00FA4664" w:rsidP="002F58F6">
      <w:pPr>
        <w:pStyle w:val="Heading2"/>
        <w:numPr>
          <w:ilvl w:val="1"/>
          <w:numId w:val="10"/>
        </w:numPr>
      </w:pPr>
      <w:r>
        <w:t>Roles and responsibilities</w:t>
      </w:r>
    </w:p>
    <w:p w14:paraId="35D18092" w14:textId="2BB4AF73" w:rsidR="00E34930" w:rsidRPr="005356DE" w:rsidRDefault="00E34930" w:rsidP="00E34930">
      <w:pPr>
        <w:pStyle w:val="BodyText"/>
        <w:rPr>
          <w:rFonts w:eastAsiaTheme="majorEastAsia" w:cstheme="majorBidi"/>
          <w:b/>
          <w:color w:val="100249"/>
          <w:sz w:val="20"/>
          <w:szCs w:val="20"/>
        </w:rPr>
      </w:pPr>
      <w:r>
        <w:rPr>
          <w:rFonts w:eastAsiaTheme="majorEastAsia" w:cstheme="majorBidi"/>
          <w:b/>
          <w:color w:val="100249"/>
          <w:sz w:val="20"/>
          <w:szCs w:val="20"/>
        </w:rPr>
        <w:t>School staff</w:t>
      </w:r>
    </w:p>
    <w:p w14:paraId="15FFA456" w14:textId="77777777" w:rsidR="00E34930" w:rsidRPr="00E34930" w:rsidRDefault="00E34930" w:rsidP="002F58F6">
      <w:pPr>
        <w:pStyle w:val="ListBullet"/>
        <w:numPr>
          <w:ilvl w:val="0"/>
          <w:numId w:val="6"/>
        </w:numPr>
      </w:pPr>
      <w:r w:rsidRPr="005356DE">
        <w:rPr>
          <w:b/>
        </w:rPr>
        <w:t>As set out in SIMS</w:t>
      </w:r>
      <w:r>
        <w:rPr>
          <w:b/>
        </w:rPr>
        <w:t>:</w:t>
      </w:r>
    </w:p>
    <w:p w14:paraId="7A1CA7B1" w14:textId="5775B8F2" w:rsidR="00E34930" w:rsidRDefault="00E34930" w:rsidP="00E34930">
      <w:pPr>
        <w:pStyle w:val="Listbullet20"/>
      </w:pPr>
      <w:r w:rsidRPr="005356DE">
        <w:t>undertake</w:t>
      </w:r>
      <w:r>
        <w:t xml:space="preserve"> the immediate response actions</w:t>
      </w:r>
    </w:p>
    <w:p w14:paraId="413E4272" w14:textId="2C48C43E" w:rsidR="00E34930" w:rsidRDefault="00E34930" w:rsidP="00E34930">
      <w:pPr>
        <w:pStyle w:val="Listbullet20"/>
      </w:pPr>
      <w:r w:rsidRPr="005356DE">
        <w:t xml:space="preserve">ensure that the relevant </w:t>
      </w:r>
      <w:r w:rsidR="00942131">
        <w:t>p</w:t>
      </w:r>
      <w:r w:rsidRPr="005356DE">
        <w:t xml:space="preserve">rincipal (or </w:t>
      </w:r>
      <w:r w:rsidR="00942131">
        <w:t>p</w:t>
      </w:r>
      <w:r w:rsidRPr="005356DE">
        <w:t>rincipal’s delegate) is aware of the critical incident.</w:t>
      </w:r>
    </w:p>
    <w:p w14:paraId="75CBC0F1" w14:textId="5C649395" w:rsidR="00920876" w:rsidRPr="005356DE" w:rsidRDefault="00920876" w:rsidP="002F58F6">
      <w:pPr>
        <w:pStyle w:val="Listbullet20"/>
        <w:numPr>
          <w:ilvl w:val="0"/>
          <w:numId w:val="16"/>
        </w:numPr>
      </w:pPr>
      <w:r>
        <w:t xml:space="preserve">Use this checklist to record </w:t>
      </w:r>
      <w:r w:rsidRPr="00920876">
        <w:t xml:space="preserve">any </w:t>
      </w:r>
      <w:r>
        <w:t xml:space="preserve">international student </w:t>
      </w:r>
      <w:r w:rsidRPr="00920876">
        <w:t xml:space="preserve">critical incident and </w:t>
      </w:r>
      <w:r>
        <w:t xml:space="preserve">the </w:t>
      </w:r>
      <w:r w:rsidRPr="00920876">
        <w:t>remedial action</w:t>
      </w:r>
      <w:r>
        <w:t>s</w:t>
      </w:r>
      <w:r w:rsidRPr="00920876">
        <w:t xml:space="preserve"> </w:t>
      </w:r>
      <w:r w:rsidR="00861F79" w:rsidRPr="00920876">
        <w:t>taken</w:t>
      </w:r>
      <w:r w:rsidR="00861F79">
        <w:t xml:space="preserve"> and</w:t>
      </w:r>
      <w:r>
        <w:t xml:space="preserve"> </w:t>
      </w:r>
      <w:r w:rsidR="00F625C6">
        <w:t xml:space="preserve">store the </w:t>
      </w:r>
      <w:r>
        <w:t>completed checklist in the student file.</w:t>
      </w:r>
    </w:p>
    <w:p w14:paraId="0C87EE5A" w14:textId="55784B6C" w:rsidR="00E34930" w:rsidRPr="005356DE" w:rsidRDefault="00E34930" w:rsidP="002F58F6">
      <w:pPr>
        <w:pStyle w:val="Heading3"/>
        <w:numPr>
          <w:ilvl w:val="2"/>
          <w:numId w:val="10"/>
        </w:numPr>
      </w:pPr>
      <w:r w:rsidRPr="005356DE">
        <w:t xml:space="preserve">Principal (or the </w:t>
      </w:r>
      <w:r w:rsidR="00450A3A">
        <w:t>p</w:t>
      </w:r>
      <w:r w:rsidRPr="005356DE">
        <w:t>rincipal’s delegate)</w:t>
      </w:r>
    </w:p>
    <w:p w14:paraId="55CFAB7D" w14:textId="05FF7194" w:rsidR="00E34930" w:rsidRPr="005356DE" w:rsidRDefault="00E34930" w:rsidP="002F58F6">
      <w:pPr>
        <w:pStyle w:val="ListBullet"/>
        <w:numPr>
          <w:ilvl w:val="0"/>
          <w:numId w:val="6"/>
        </w:numPr>
        <w:rPr>
          <w:b/>
        </w:rPr>
      </w:pPr>
      <w:r w:rsidRPr="005356DE">
        <w:rPr>
          <w:b/>
        </w:rPr>
        <w:t xml:space="preserve">As set out in SIMS, the </w:t>
      </w:r>
      <w:r w:rsidR="00942131">
        <w:rPr>
          <w:b/>
        </w:rPr>
        <w:t>p</w:t>
      </w:r>
      <w:r w:rsidRPr="005356DE">
        <w:rPr>
          <w:b/>
        </w:rPr>
        <w:t>rincipal is responsible for:</w:t>
      </w:r>
    </w:p>
    <w:p w14:paraId="1AF2CE7A" w14:textId="77777777" w:rsidR="00E34930" w:rsidRPr="005356DE" w:rsidRDefault="00E34930" w:rsidP="00E34930">
      <w:pPr>
        <w:pStyle w:val="Listbullet20"/>
      </w:pPr>
      <w:r w:rsidRPr="005356DE">
        <w:t xml:space="preserve">Rating the severity of a critical incident and reporting the incident to </w:t>
      </w:r>
      <w:r>
        <w:t xml:space="preserve">the </w:t>
      </w:r>
      <w:r w:rsidRPr="005356DE">
        <w:t xml:space="preserve">Incident Support and Operations Centre </w:t>
      </w:r>
      <w:r>
        <w:t>(</w:t>
      </w:r>
      <w:r w:rsidRPr="005356DE">
        <w:t>ISOC</w:t>
      </w:r>
      <w:r>
        <w:t>)</w:t>
      </w:r>
      <w:r w:rsidRPr="005356DE">
        <w:t xml:space="preserve"> on 1800 126 126</w:t>
      </w:r>
    </w:p>
    <w:p w14:paraId="6FE7DFA8" w14:textId="77777777" w:rsidR="00E34930" w:rsidRPr="005356DE" w:rsidRDefault="00E34930" w:rsidP="00E34930">
      <w:pPr>
        <w:pStyle w:val="Listbullet20"/>
      </w:pPr>
      <w:r w:rsidRPr="005356DE">
        <w:t xml:space="preserve">Managing the incident, including ensuring the safety of all people involved and maintaining accurate and up-to-date records. </w:t>
      </w:r>
    </w:p>
    <w:p w14:paraId="43F0666B" w14:textId="7A2A6C8E" w:rsidR="0089194E" w:rsidRPr="005356DE" w:rsidRDefault="00106DF5" w:rsidP="002F58F6">
      <w:pPr>
        <w:pStyle w:val="Heading3"/>
        <w:numPr>
          <w:ilvl w:val="2"/>
          <w:numId w:val="10"/>
        </w:numPr>
      </w:pPr>
      <w:r>
        <w:t>Department of Education and Training (</w:t>
      </w:r>
      <w:r w:rsidR="0089194E" w:rsidRPr="005356DE">
        <w:t>DET</w:t>
      </w:r>
      <w:r>
        <w:t>)</w:t>
      </w:r>
      <w:r w:rsidR="0089194E" w:rsidRPr="005356DE">
        <w:t xml:space="preserve"> </w:t>
      </w:r>
      <w:r w:rsidR="00942131">
        <w:t>c</w:t>
      </w:r>
      <w:r w:rsidR="0089194E" w:rsidRPr="005356DE">
        <w:t xml:space="preserve">entral and </w:t>
      </w:r>
      <w:r w:rsidR="00942131">
        <w:t>r</w:t>
      </w:r>
      <w:r w:rsidR="0089194E" w:rsidRPr="005356DE">
        <w:t>egions</w:t>
      </w:r>
    </w:p>
    <w:p w14:paraId="7895DD60" w14:textId="423E0184" w:rsidR="0089194E" w:rsidRPr="005356DE" w:rsidRDefault="0089194E" w:rsidP="002F58F6">
      <w:pPr>
        <w:pStyle w:val="ListBullet"/>
        <w:numPr>
          <w:ilvl w:val="0"/>
          <w:numId w:val="6"/>
        </w:numPr>
      </w:pPr>
      <w:r w:rsidRPr="005356DE">
        <w:rPr>
          <w:b/>
        </w:rPr>
        <w:t>As set out in SIMS</w:t>
      </w:r>
      <w:r w:rsidRPr="005356DE">
        <w:t xml:space="preserve">, </w:t>
      </w:r>
      <w:r>
        <w:t>ISOC</w:t>
      </w:r>
      <w:r w:rsidRPr="005356DE">
        <w:t xml:space="preserve"> maintains a 24/7 hotline (1800 126 126) and assists the </w:t>
      </w:r>
      <w:r w:rsidR="00DF604E">
        <w:t>p</w:t>
      </w:r>
      <w:r w:rsidRPr="005356DE">
        <w:t>rincipal (or delegate) to categorise the severity of the incident through the Incident Reporting Information System (IRIS) and to identify that it relates to an international student.</w:t>
      </w:r>
    </w:p>
    <w:p w14:paraId="285AA928" w14:textId="621F304D" w:rsidR="0089194E" w:rsidRDefault="0089194E" w:rsidP="002F58F6">
      <w:pPr>
        <w:pStyle w:val="ListBullet"/>
        <w:numPr>
          <w:ilvl w:val="0"/>
          <w:numId w:val="6"/>
        </w:numPr>
      </w:pPr>
      <w:r w:rsidRPr="005356DE">
        <w:rPr>
          <w:b/>
        </w:rPr>
        <w:t>As set out in SIMS</w:t>
      </w:r>
      <w:r w:rsidRPr="005356DE">
        <w:t xml:space="preserve">, </w:t>
      </w:r>
      <w:r w:rsidR="00DF604E">
        <w:t>c</w:t>
      </w:r>
      <w:r w:rsidRPr="005356DE">
        <w:t xml:space="preserve">entral and </w:t>
      </w:r>
      <w:r w:rsidR="00DF604E">
        <w:t>r</w:t>
      </w:r>
      <w:r w:rsidRPr="005356DE">
        <w:t xml:space="preserve">egions provide 24/7 support to the </w:t>
      </w:r>
      <w:r w:rsidR="00DF604E">
        <w:t>p</w:t>
      </w:r>
      <w:r w:rsidRPr="005356DE">
        <w:t>rincipal (or delegate) to manage the incident.</w:t>
      </w:r>
    </w:p>
    <w:p w14:paraId="3F92733F" w14:textId="235D73D5" w:rsidR="0089194E" w:rsidRPr="005356DE" w:rsidRDefault="0089194E" w:rsidP="0089194E">
      <w:pPr>
        <w:pStyle w:val="ListBullet"/>
      </w:pPr>
      <w:r w:rsidRPr="005356DE">
        <w:t xml:space="preserve">The </w:t>
      </w:r>
      <w:r w:rsidR="00DF604E">
        <w:t>e</w:t>
      </w:r>
      <w:r w:rsidRPr="005356DE">
        <w:t xml:space="preserve">xecutive </w:t>
      </w:r>
      <w:r w:rsidR="00DF604E">
        <w:t>d</w:t>
      </w:r>
      <w:r w:rsidRPr="005356DE">
        <w:t xml:space="preserve">irector, International Education Division (IED) is the </w:t>
      </w:r>
      <w:r w:rsidR="00DF604E">
        <w:t>p</w:t>
      </w:r>
      <w:r w:rsidRPr="005356DE">
        <w:t xml:space="preserve">rincipal </w:t>
      </w:r>
      <w:r w:rsidR="00DF604E">
        <w:t>e</w:t>
      </w:r>
      <w:r w:rsidRPr="005356DE">
        <w:t xml:space="preserve">xecutive </w:t>
      </w:r>
      <w:r w:rsidR="00DF604E">
        <w:t>o</w:t>
      </w:r>
      <w:r w:rsidRPr="005356DE">
        <w:t xml:space="preserve">fficer who has a non-delegable responsibility </w:t>
      </w:r>
      <w:r w:rsidRPr="005356DE">
        <w:rPr>
          <w:lang w:val="en-US"/>
        </w:rPr>
        <w:t xml:space="preserve">for ensuring suitable, ongoing and appropriately managed arrangements are in place where </w:t>
      </w:r>
      <w:r w:rsidRPr="005356DE">
        <w:t xml:space="preserve">DET has taken on responsibility for the approval of </w:t>
      </w:r>
      <w:r>
        <w:t xml:space="preserve">appropriate accommodation and </w:t>
      </w:r>
      <w:r w:rsidRPr="005356DE">
        <w:t>welfare arrangements for a student who is under 18 years of age. DET accepts this responsibility by issuing a Confirmation</w:t>
      </w:r>
      <w:r w:rsidRPr="005356DE">
        <w:rPr>
          <w:lang w:val="en-US"/>
        </w:rPr>
        <w:t xml:space="preserve"> of Appropriate Accommodation and Welfare</w:t>
      </w:r>
      <w:r w:rsidRPr="005356DE">
        <w:t xml:space="preserve"> (CAAW) letter</w:t>
      </w:r>
      <w:r w:rsidRPr="005356DE">
        <w:rPr>
          <w:lang w:val="en-US"/>
        </w:rPr>
        <w:t>.</w:t>
      </w:r>
    </w:p>
    <w:p w14:paraId="68ACD389" w14:textId="77777777" w:rsidR="00585886" w:rsidRDefault="00585886">
      <w:pPr>
        <w:spacing w:after="0" w:line="240" w:lineRule="auto"/>
        <w:rPr>
          <w:rFonts w:eastAsiaTheme="majorEastAsia" w:cstheme="majorBidi"/>
          <w:b/>
          <w:color w:val="DC3972"/>
          <w:sz w:val="24"/>
          <w:szCs w:val="24"/>
        </w:rPr>
      </w:pPr>
      <w:r>
        <w:br w:type="page"/>
      </w:r>
    </w:p>
    <w:p w14:paraId="42389FD3" w14:textId="5E4A6FB8" w:rsidR="00824774" w:rsidRDefault="00FA4664" w:rsidP="00824774">
      <w:pPr>
        <w:pStyle w:val="Heading2"/>
      </w:pPr>
      <w:r>
        <w:lastRenderedPageBreak/>
        <w:t>Checklist</w:t>
      </w:r>
    </w:p>
    <w:p w14:paraId="43DF7A7C" w14:textId="6D35E3DC" w:rsidR="00FA4664" w:rsidRPr="00585886" w:rsidRDefault="00FA4664" w:rsidP="00FA4664">
      <w:pPr>
        <w:ind w:left="-180" w:firstLine="180"/>
        <w:rPr>
          <w:rFonts w:cs="Arial"/>
          <w:b/>
          <w:sz w:val="22"/>
        </w:rPr>
      </w:pPr>
    </w:p>
    <w:tbl>
      <w:tblPr>
        <w:tblW w:w="0" w:type="auto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2A0" w:firstRow="1" w:lastRow="0" w:firstColumn="1" w:lastColumn="0" w:noHBand="1" w:noVBand="0"/>
        <w:tblDescription w:val="Student details table"/>
      </w:tblPr>
      <w:tblGrid>
        <w:gridCol w:w="2552"/>
        <w:gridCol w:w="7855"/>
      </w:tblGrid>
      <w:tr w:rsidR="00AC7260" w:rsidRPr="00AC7260" w14:paraId="1004F303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014FFF55" w14:textId="77777777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bookmarkStart w:id="2" w:name="RowTitle_1" w:colFirst="0" w:colLast="0"/>
            <w:r w:rsidRPr="00285606">
              <w:rPr>
                <w:rFonts w:cs="Arial"/>
                <w:b/>
                <w:szCs w:val="18"/>
              </w:rPr>
              <w:t>Student name:</w:t>
            </w:r>
          </w:p>
        </w:tc>
        <w:tc>
          <w:tcPr>
            <w:tcW w:w="7855" w:type="dxa"/>
            <w:vAlign w:val="center"/>
          </w:tcPr>
          <w:p w14:paraId="750305DD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1D4E2F07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28EB858B" w14:textId="658F7F51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Welfare arrangement</w:t>
            </w:r>
            <w:r w:rsidR="00F625C6" w:rsidRPr="00285606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7855" w:type="dxa"/>
            <w:vAlign w:val="center"/>
          </w:tcPr>
          <w:p w14:paraId="6E6EFBF6" w14:textId="1991D469" w:rsidR="00AC7260" w:rsidRDefault="00BF2B4F" w:rsidP="00EF1523">
            <w:pPr>
              <w:spacing w:before="40" w:after="40" w:line="240" w:lineRule="auto"/>
            </w:pPr>
            <w:r>
              <w:t>(Tick</w:t>
            </w:r>
            <w:r w:rsidR="00A05549">
              <w:t xml:space="preserve"> the</w:t>
            </w:r>
            <w:r>
              <w:t xml:space="preserve"> </w:t>
            </w:r>
            <w:r w:rsidR="00A05549">
              <w:t>appropriate box</w:t>
            </w:r>
            <w:r>
              <w:t>)</w:t>
            </w:r>
          </w:p>
          <w:p w14:paraId="3A9D3D7B" w14:textId="0C36DF6D" w:rsidR="00BF2B4F" w:rsidRDefault="002F58F6" w:rsidP="00EF1523">
            <w:pPr>
              <w:spacing w:before="40" w:after="40" w:line="240" w:lineRule="auto"/>
            </w:pPr>
            <w:sdt>
              <w:sdtPr>
                <w:rPr>
                  <w:sz w:val="24"/>
                </w:rPr>
                <w:id w:val="-20949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4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2B4F">
              <w:t xml:space="preserve"> Living with a parent</w:t>
            </w:r>
            <w:r w:rsidR="00A05549">
              <w:t xml:space="preserve"> (Option 1)</w:t>
            </w:r>
          </w:p>
          <w:p w14:paraId="54443BAC" w14:textId="3621CFFF" w:rsidR="00BF2B4F" w:rsidRPr="00F74947" w:rsidRDefault="002F58F6" w:rsidP="00EF1523">
            <w:pPr>
              <w:spacing w:before="40" w:after="4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9254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4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2B4F">
              <w:rPr>
                <w:sz w:val="24"/>
              </w:rPr>
              <w:t xml:space="preserve"> </w:t>
            </w:r>
            <w:r w:rsidR="00BF2B4F" w:rsidRPr="00F74947">
              <w:t xml:space="preserve">Living with a </w:t>
            </w:r>
            <w:r w:rsidR="00A05549" w:rsidRPr="00F74947">
              <w:t xml:space="preserve">relative approved by the </w:t>
            </w:r>
            <w:r w:rsidR="00BF2B4F" w:rsidRPr="00F74947">
              <w:t>Department of Home Affairs</w:t>
            </w:r>
            <w:r w:rsidR="003D1F46">
              <w:t xml:space="preserve"> (DHA)</w:t>
            </w:r>
            <w:r w:rsidR="00BF2B4F" w:rsidRPr="00F74947">
              <w:t xml:space="preserve"> </w:t>
            </w:r>
            <w:r w:rsidR="00A05549" w:rsidRPr="00F74947">
              <w:t>(Option 2)</w:t>
            </w:r>
          </w:p>
          <w:p w14:paraId="32C4FDBC" w14:textId="01E4FFC6" w:rsidR="00AC7260" w:rsidRPr="00F74947" w:rsidRDefault="002F58F6" w:rsidP="00EF1523">
            <w:pPr>
              <w:spacing w:before="40" w:after="40" w:line="240" w:lineRule="auto"/>
            </w:pPr>
            <w:sdt>
              <w:sdtPr>
                <w:rPr>
                  <w:sz w:val="24"/>
                </w:rPr>
                <w:id w:val="-181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4F" w:rsidRPr="00F7494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2B4F" w:rsidRPr="00F74947">
              <w:rPr>
                <w:sz w:val="24"/>
              </w:rPr>
              <w:t xml:space="preserve"> </w:t>
            </w:r>
            <w:r w:rsidR="00BF2B4F" w:rsidRPr="00F74947">
              <w:rPr>
                <w:b/>
              </w:rPr>
              <w:t>Living in a homestay</w:t>
            </w:r>
            <w:r w:rsidR="00BF2B4F" w:rsidRPr="00F74947">
              <w:t xml:space="preserve">: </w:t>
            </w:r>
            <w:r w:rsidR="00A05549" w:rsidRPr="00F74947">
              <w:t>‘</w:t>
            </w:r>
            <w:r w:rsidR="000B260B" w:rsidRPr="00F74947">
              <w:t>parent-nominated</w:t>
            </w:r>
            <w:r w:rsidR="00A05549" w:rsidRPr="00F74947">
              <w:t>’</w:t>
            </w:r>
            <w:r w:rsidR="00BF2B4F" w:rsidRPr="00F74947">
              <w:t xml:space="preserve"> </w:t>
            </w:r>
            <w:r w:rsidR="00A05549" w:rsidRPr="00F74947">
              <w:t>(Option 3) or ‘</w:t>
            </w:r>
            <w:r w:rsidR="000B260B" w:rsidRPr="00F74947">
              <w:t>school-arranged</w:t>
            </w:r>
            <w:r w:rsidR="00A05549" w:rsidRPr="00F74947">
              <w:t>’ (Option 4)</w:t>
            </w:r>
          </w:p>
          <w:p w14:paraId="4A46E864" w14:textId="0BD91244" w:rsidR="00AC7260" w:rsidRPr="00F74947" w:rsidRDefault="00AC7260" w:rsidP="00EF1523">
            <w:pPr>
              <w:spacing w:before="40" w:after="40" w:line="240" w:lineRule="auto"/>
              <w:rPr>
                <w:i/>
                <w:iCs/>
              </w:rPr>
            </w:pPr>
            <w:r w:rsidRPr="00F74947">
              <w:rPr>
                <w:i/>
                <w:iCs/>
              </w:rPr>
              <w:t xml:space="preserve">Note: If the student is </w:t>
            </w:r>
            <w:r w:rsidRPr="00F74947">
              <w:rPr>
                <w:b/>
                <w:bCs/>
                <w:i/>
                <w:iCs/>
              </w:rPr>
              <w:t>living in a homestay</w:t>
            </w:r>
            <w:r w:rsidRPr="00F74947">
              <w:rPr>
                <w:i/>
                <w:iCs/>
              </w:rPr>
              <w:t xml:space="preserve">, </w:t>
            </w:r>
            <w:r w:rsidR="00F625C6" w:rsidRPr="00F74947">
              <w:rPr>
                <w:i/>
                <w:iCs/>
              </w:rPr>
              <w:t xml:space="preserve">the </w:t>
            </w:r>
            <w:r w:rsidR="005A58BF">
              <w:rPr>
                <w:i/>
                <w:iCs/>
              </w:rPr>
              <w:t>p</w:t>
            </w:r>
            <w:r w:rsidR="00F625C6" w:rsidRPr="00F74947">
              <w:rPr>
                <w:i/>
                <w:iCs/>
              </w:rPr>
              <w:t xml:space="preserve">rincipal (or delegate) </w:t>
            </w:r>
            <w:r w:rsidRPr="00F74947">
              <w:rPr>
                <w:i/>
                <w:iCs/>
              </w:rPr>
              <w:t>must ensure the student has appropriate accommodation, welfare and general support</w:t>
            </w:r>
            <w:r w:rsidR="000B260B" w:rsidRPr="00F74947">
              <w:rPr>
                <w:i/>
                <w:iCs/>
              </w:rPr>
              <w:t xml:space="preserve"> throughout a critical incident, including after hours</w:t>
            </w:r>
            <w:r w:rsidRPr="00F74947">
              <w:rPr>
                <w:i/>
                <w:iCs/>
              </w:rPr>
              <w:t>.</w:t>
            </w:r>
            <w:r w:rsidR="00F625C6" w:rsidRPr="00F74947">
              <w:rPr>
                <w:i/>
                <w:iCs/>
              </w:rPr>
              <w:t xml:space="preserve"> After the </w:t>
            </w:r>
            <w:r w:rsidR="005A58BF">
              <w:rPr>
                <w:i/>
                <w:iCs/>
              </w:rPr>
              <w:t>p</w:t>
            </w:r>
            <w:r w:rsidR="00F625C6" w:rsidRPr="00F74947">
              <w:rPr>
                <w:i/>
                <w:iCs/>
              </w:rPr>
              <w:t xml:space="preserve">rincipal (or delegate) reports the incident through ISOC, DET (IED) will contact the </w:t>
            </w:r>
            <w:r w:rsidR="005A58BF">
              <w:rPr>
                <w:i/>
                <w:iCs/>
              </w:rPr>
              <w:t>p</w:t>
            </w:r>
            <w:r w:rsidR="00F625C6" w:rsidRPr="00F74947">
              <w:rPr>
                <w:i/>
                <w:iCs/>
              </w:rPr>
              <w:t>rincipal (or delegate) to provide advice as required.</w:t>
            </w:r>
          </w:p>
        </w:tc>
      </w:tr>
      <w:tr w:rsidR="00AC7260" w:rsidRPr="00AC7260" w14:paraId="37C8E810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5B6EEC31" w14:textId="77777777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Student ID:</w:t>
            </w:r>
          </w:p>
        </w:tc>
        <w:tc>
          <w:tcPr>
            <w:tcW w:w="7855" w:type="dxa"/>
            <w:vAlign w:val="center"/>
          </w:tcPr>
          <w:p w14:paraId="49680D09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1E8ACD33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317B86D4" w14:textId="27163FDB" w:rsidR="00AC7260" w:rsidRPr="00285606" w:rsidRDefault="00BF2B4F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Date of birth</w:t>
            </w:r>
            <w:r w:rsidR="00AC7260" w:rsidRPr="00285606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7855" w:type="dxa"/>
            <w:vAlign w:val="center"/>
          </w:tcPr>
          <w:p w14:paraId="6AF044C3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3F01226C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4DEEE7C8" w14:textId="77777777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Age:</w:t>
            </w:r>
          </w:p>
        </w:tc>
        <w:tc>
          <w:tcPr>
            <w:tcW w:w="7855" w:type="dxa"/>
            <w:vAlign w:val="center"/>
          </w:tcPr>
          <w:p w14:paraId="613EBDB8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2E0DA27D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29925643" w14:textId="77777777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Host school:</w:t>
            </w:r>
          </w:p>
        </w:tc>
        <w:tc>
          <w:tcPr>
            <w:tcW w:w="7855" w:type="dxa"/>
            <w:vAlign w:val="center"/>
          </w:tcPr>
          <w:p w14:paraId="6E0417B0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04CBC461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5C1F7072" w14:textId="24C88FF9" w:rsidR="00AC7260" w:rsidRPr="00285606" w:rsidRDefault="00BF2B4F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 xml:space="preserve">English </w:t>
            </w:r>
            <w:r w:rsidR="00450A3A">
              <w:rPr>
                <w:rFonts w:cs="Arial"/>
                <w:b/>
                <w:szCs w:val="18"/>
              </w:rPr>
              <w:t>l</w:t>
            </w:r>
            <w:r w:rsidRPr="00285606">
              <w:rPr>
                <w:rFonts w:cs="Arial"/>
                <w:b/>
                <w:szCs w:val="18"/>
              </w:rPr>
              <w:t xml:space="preserve">anguage </w:t>
            </w:r>
            <w:r w:rsidR="00450A3A">
              <w:rPr>
                <w:rFonts w:cs="Arial"/>
                <w:b/>
                <w:szCs w:val="18"/>
              </w:rPr>
              <w:t>c</w:t>
            </w:r>
            <w:r w:rsidRPr="00285606">
              <w:rPr>
                <w:rFonts w:cs="Arial"/>
                <w:b/>
                <w:szCs w:val="18"/>
              </w:rPr>
              <w:t>entre</w:t>
            </w:r>
            <w:r w:rsidR="00AC7260" w:rsidRPr="00285606">
              <w:rPr>
                <w:rFonts w:cs="Arial"/>
                <w:b/>
                <w:szCs w:val="18"/>
              </w:rPr>
              <w:t xml:space="preserve"> (if applicable):</w:t>
            </w:r>
          </w:p>
        </w:tc>
        <w:tc>
          <w:tcPr>
            <w:tcW w:w="7855" w:type="dxa"/>
            <w:vAlign w:val="center"/>
          </w:tcPr>
          <w:p w14:paraId="3D29B9DA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AC7260" w:rsidRPr="00AC7260" w14:paraId="3348EC39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32D4E81E" w14:textId="77777777" w:rsidR="00AC7260" w:rsidRPr="00285606" w:rsidRDefault="00AC726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Incident date:</w:t>
            </w:r>
          </w:p>
        </w:tc>
        <w:tc>
          <w:tcPr>
            <w:tcW w:w="7855" w:type="dxa"/>
            <w:vAlign w:val="center"/>
          </w:tcPr>
          <w:p w14:paraId="2CD99C2B" w14:textId="77777777" w:rsidR="00AC7260" w:rsidRPr="00AC7260" w:rsidRDefault="00AC7260" w:rsidP="00EF1523">
            <w:pPr>
              <w:spacing w:before="40" w:after="40" w:line="240" w:lineRule="auto"/>
            </w:pPr>
          </w:p>
        </w:tc>
      </w:tr>
      <w:tr w:rsidR="005A2810" w:rsidRPr="00AC7260" w14:paraId="1D3CB04F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298C858E" w14:textId="247A798F" w:rsidR="005A2810" w:rsidRPr="00285606" w:rsidRDefault="005A2810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Language of family and need for interpreter/translator</w:t>
            </w:r>
          </w:p>
        </w:tc>
        <w:tc>
          <w:tcPr>
            <w:tcW w:w="7855" w:type="dxa"/>
            <w:vAlign w:val="center"/>
          </w:tcPr>
          <w:p w14:paraId="1214C7F9" w14:textId="77777777" w:rsidR="005A2810" w:rsidRDefault="005A2810" w:rsidP="00EF1523">
            <w:pPr>
              <w:spacing w:before="40" w:after="40" w:line="240" w:lineRule="auto"/>
            </w:pPr>
          </w:p>
          <w:p w14:paraId="0EEC6072" w14:textId="034D0EEF" w:rsidR="005A2810" w:rsidRPr="005A2810" w:rsidRDefault="005A2810" w:rsidP="00EF1523">
            <w:pPr>
              <w:spacing w:before="40" w:after="40" w:line="240" w:lineRule="auto"/>
              <w:rPr>
                <w:i/>
                <w:iCs/>
              </w:rPr>
            </w:pPr>
            <w:r w:rsidRPr="005A2810">
              <w:rPr>
                <w:i/>
                <w:iCs/>
              </w:rPr>
              <w:t xml:space="preserve">Note: Please see </w:t>
            </w:r>
            <w:hyperlink r:id="rId14" w:history="1">
              <w:r w:rsidRPr="005A2810">
                <w:rPr>
                  <w:rStyle w:val="Hyperlink"/>
                  <w:i/>
                  <w:iCs/>
                </w:rPr>
                <w:t>Interpreting and Translation Services: Telephone interpreting service</w:t>
              </w:r>
            </w:hyperlink>
            <w:r w:rsidRPr="005A2810">
              <w:rPr>
                <w:i/>
                <w:iCs/>
              </w:rPr>
              <w:t xml:space="preserve"> </w:t>
            </w:r>
            <w:r w:rsidR="00E457A9">
              <w:rPr>
                <w:i/>
                <w:iCs/>
              </w:rPr>
              <w:t>i</w:t>
            </w:r>
            <w:r w:rsidRPr="005A2810">
              <w:rPr>
                <w:i/>
                <w:iCs/>
              </w:rPr>
              <w:t xml:space="preserve">n </w:t>
            </w:r>
            <w:r w:rsidR="004F5E8F">
              <w:rPr>
                <w:i/>
                <w:iCs/>
              </w:rPr>
              <w:t xml:space="preserve">the Policy and </w:t>
            </w:r>
            <w:r w:rsidR="00E457A9">
              <w:rPr>
                <w:i/>
                <w:iCs/>
              </w:rPr>
              <w:t>A</w:t>
            </w:r>
            <w:r w:rsidR="007F53D9">
              <w:rPr>
                <w:i/>
                <w:iCs/>
              </w:rPr>
              <w:t xml:space="preserve">dvisory </w:t>
            </w:r>
            <w:r w:rsidR="00E457A9">
              <w:rPr>
                <w:i/>
                <w:iCs/>
              </w:rPr>
              <w:t>L</w:t>
            </w:r>
            <w:r w:rsidR="007F53D9">
              <w:rPr>
                <w:i/>
                <w:iCs/>
              </w:rPr>
              <w:t xml:space="preserve">ibrary </w:t>
            </w:r>
            <w:r w:rsidR="00E457A9">
              <w:rPr>
                <w:i/>
                <w:iCs/>
              </w:rPr>
              <w:t>(</w:t>
            </w:r>
            <w:r w:rsidRPr="005A2810">
              <w:rPr>
                <w:i/>
                <w:iCs/>
              </w:rPr>
              <w:t>PAL</w:t>
            </w:r>
            <w:r w:rsidR="00E457A9">
              <w:rPr>
                <w:i/>
                <w:iCs/>
              </w:rPr>
              <w:t>)</w:t>
            </w:r>
            <w:r w:rsidRPr="005A2810">
              <w:rPr>
                <w:i/>
                <w:iCs/>
              </w:rPr>
              <w:t xml:space="preserve"> for Language Loop’s contact details.</w:t>
            </w:r>
          </w:p>
        </w:tc>
      </w:tr>
      <w:tr w:rsidR="00F625C6" w:rsidRPr="00AC7260" w14:paraId="6827E3B1" w14:textId="77777777" w:rsidTr="00861F79">
        <w:trPr>
          <w:trHeight w:val="369"/>
        </w:trPr>
        <w:tc>
          <w:tcPr>
            <w:tcW w:w="2552" w:type="dxa"/>
            <w:vAlign w:val="center"/>
          </w:tcPr>
          <w:p w14:paraId="22A61E3C" w14:textId="40FD2929" w:rsidR="00F625C6" w:rsidRPr="00285606" w:rsidRDefault="00F625C6" w:rsidP="00EF1523">
            <w:pPr>
              <w:spacing w:before="40" w:after="40" w:line="240" w:lineRule="auto"/>
              <w:rPr>
                <w:rFonts w:cs="Arial"/>
                <w:b/>
                <w:szCs w:val="18"/>
              </w:rPr>
            </w:pPr>
            <w:r w:rsidRPr="00285606">
              <w:rPr>
                <w:rFonts w:cs="Arial"/>
                <w:b/>
                <w:szCs w:val="18"/>
              </w:rPr>
              <w:t>Summary of incident:</w:t>
            </w:r>
          </w:p>
        </w:tc>
        <w:tc>
          <w:tcPr>
            <w:tcW w:w="7855" w:type="dxa"/>
            <w:vAlign w:val="center"/>
          </w:tcPr>
          <w:p w14:paraId="5E6484A3" w14:textId="77777777" w:rsidR="00F625C6" w:rsidRDefault="00F625C6" w:rsidP="00EF1523">
            <w:pPr>
              <w:spacing w:before="40" w:after="40" w:line="240" w:lineRule="auto"/>
            </w:pPr>
          </w:p>
          <w:p w14:paraId="52F92218" w14:textId="77777777" w:rsidR="00F625C6" w:rsidRDefault="00F625C6" w:rsidP="00EF1523">
            <w:pPr>
              <w:spacing w:before="40" w:after="40" w:line="240" w:lineRule="auto"/>
            </w:pPr>
          </w:p>
          <w:p w14:paraId="41122C54" w14:textId="3F7AE366" w:rsidR="00F625C6" w:rsidRDefault="00F625C6" w:rsidP="00EF1523">
            <w:pPr>
              <w:spacing w:before="40" w:after="40" w:line="240" w:lineRule="auto"/>
            </w:pPr>
          </w:p>
          <w:p w14:paraId="596DB764" w14:textId="77777777" w:rsidR="00F625C6" w:rsidRDefault="00F625C6" w:rsidP="00EF1523">
            <w:pPr>
              <w:spacing w:before="40" w:after="40" w:line="240" w:lineRule="auto"/>
            </w:pPr>
          </w:p>
          <w:p w14:paraId="59E2AD86" w14:textId="11FAB13A" w:rsidR="00F625C6" w:rsidRPr="00AC7260" w:rsidRDefault="00F625C6" w:rsidP="00EF1523">
            <w:pPr>
              <w:spacing w:before="40" w:after="40" w:line="240" w:lineRule="auto"/>
            </w:pPr>
          </w:p>
        </w:tc>
      </w:tr>
      <w:bookmarkEnd w:id="2"/>
    </w:tbl>
    <w:p w14:paraId="753AA739" w14:textId="270B62FE" w:rsidR="00585886" w:rsidRDefault="00585886" w:rsidP="00585886"/>
    <w:p w14:paraId="7AE16D8E" w14:textId="09962E2E" w:rsidR="00AC7260" w:rsidRDefault="00AC7260" w:rsidP="00585886"/>
    <w:p w14:paraId="61765C45" w14:textId="77777777" w:rsidR="005A2810" w:rsidRDefault="005A2810" w:rsidP="00585886"/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128"/>
        <w:gridCol w:w="1016"/>
        <w:gridCol w:w="4750"/>
        <w:gridCol w:w="3556"/>
      </w:tblGrid>
      <w:tr w:rsidR="009E59E5" w:rsidRPr="006917FD" w14:paraId="713E878A" w14:textId="25EAEFEC" w:rsidTr="00240A96">
        <w:tc>
          <w:tcPr>
            <w:tcW w:w="1128" w:type="dxa"/>
            <w:tcBorders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4AD4AA6A" w14:textId="1386191C" w:rsidR="009E59E5" w:rsidRPr="006917FD" w:rsidRDefault="009E59E5" w:rsidP="00DB0094">
            <w:pPr>
              <w:pStyle w:val="TableHeader1"/>
            </w:pPr>
            <w:r>
              <w:t>Complete</w:t>
            </w:r>
          </w:p>
        </w:tc>
        <w:tc>
          <w:tcPr>
            <w:tcW w:w="10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5B9A8EAE" w14:textId="4B7752A9" w:rsidR="009E59E5" w:rsidRPr="006917FD" w:rsidRDefault="009E59E5" w:rsidP="00DB0094">
            <w:pPr>
              <w:pStyle w:val="TableHeader1"/>
            </w:pPr>
            <w:r>
              <w:t>School staff Initials</w:t>
            </w:r>
          </w:p>
        </w:tc>
        <w:tc>
          <w:tcPr>
            <w:tcW w:w="475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536091CF" w14:textId="273EFA27" w:rsidR="009E59E5" w:rsidRPr="006917FD" w:rsidRDefault="009E59E5" w:rsidP="00DB0094">
            <w:pPr>
              <w:pStyle w:val="TableHeader1"/>
            </w:pPr>
            <w:r>
              <w:t>Actions</w:t>
            </w:r>
          </w:p>
        </w:tc>
        <w:tc>
          <w:tcPr>
            <w:tcW w:w="3556" w:type="dxa"/>
            <w:tcBorders>
              <w:left w:val="single" w:sz="12" w:space="0" w:color="FFFFFF" w:themeColor="background1"/>
            </w:tcBorders>
            <w:shd w:val="clear" w:color="auto" w:fill="100249"/>
            <w:vAlign w:val="center"/>
          </w:tcPr>
          <w:p w14:paraId="4102F166" w14:textId="784BAF81" w:rsidR="009E59E5" w:rsidRDefault="009E59E5" w:rsidP="00DB0094">
            <w:pPr>
              <w:pStyle w:val="TableHeader1"/>
            </w:pPr>
            <w:r>
              <w:t>Notes</w:t>
            </w:r>
          </w:p>
        </w:tc>
      </w:tr>
      <w:tr w:rsidR="009E59E5" w:rsidRPr="006917FD" w14:paraId="5B285286" w14:textId="28F3A688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26486608" w14:textId="57A769AA" w:rsidR="009E59E5" w:rsidRPr="005356DE" w:rsidRDefault="009E59E5" w:rsidP="00DB0094">
            <w:pPr>
              <w:pStyle w:val="TableHeader2"/>
              <w:keepNext/>
            </w:pPr>
            <w:r w:rsidRPr="005356DE">
              <w:t>Step 1: Identification and immediate response</w:t>
            </w:r>
          </w:p>
        </w:tc>
      </w:tr>
      <w:tr w:rsidR="009E59E5" w14:paraId="2770090A" w14:textId="427F0458" w:rsidTr="00861F79">
        <w:sdt>
          <w:sdtPr>
            <w:rPr>
              <w:sz w:val="24"/>
            </w:rPr>
            <w:id w:val="-69154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9960A22" w14:textId="7B2B8971" w:rsidR="009E59E5" w:rsidRDefault="009E59E5" w:rsidP="00EB211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6C0FAC04" w14:textId="77777777" w:rsidR="009E59E5" w:rsidRDefault="009E59E5" w:rsidP="00EB211E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30470459" w14:textId="0926A80C" w:rsidR="009E59E5" w:rsidRPr="00120EFB" w:rsidRDefault="009E59E5" w:rsidP="00012907">
            <w:pPr>
              <w:pStyle w:val="ListBullet"/>
              <w:numPr>
                <w:ilvl w:val="0"/>
                <w:numId w:val="0"/>
              </w:numPr>
              <w:ind w:left="17"/>
              <w:rPr>
                <w:color w:val="333333"/>
              </w:rPr>
            </w:pPr>
            <w:r w:rsidRPr="00120EFB">
              <w:rPr>
                <w:b/>
                <w:color w:val="333333"/>
              </w:rPr>
              <w:t>As set out in SIMS</w:t>
            </w:r>
            <w:r w:rsidRPr="00120EFB">
              <w:rPr>
                <w:color w:val="333333"/>
              </w:rPr>
              <w:t xml:space="preserve">, </w:t>
            </w:r>
            <w:r w:rsidR="00BF2B4F" w:rsidRPr="00120EFB">
              <w:rPr>
                <w:color w:val="333333"/>
              </w:rPr>
              <w:t xml:space="preserve">school staff </w:t>
            </w:r>
            <w:r w:rsidRPr="00120EFB">
              <w:rPr>
                <w:color w:val="333333"/>
              </w:rPr>
              <w:t>undertake the immediate response actions to ensure the safety of the student(s), staff and any other parties, and preserve and record evidence</w:t>
            </w:r>
          </w:p>
        </w:tc>
        <w:tc>
          <w:tcPr>
            <w:tcW w:w="3556" w:type="dxa"/>
            <w:vAlign w:val="center"/>
          </w:tcPr>
          <w:p w14:paraId="1DD669BB" w14:textId="77777777" w:rsidR="009E59E5" w:rsidRPr="005356DE" w:rsidRDefault="009E59E5" w:rsidP="00012907">
            <w:pPr>
              <w:pStyle w:val="ListBullet"/>
              <w:numPr>
                <w:ilvl w:val="0"/>
                <w:numId w:val="0"/>
              </w:numPr>
              <w:ind w:left="17"/>
              <w:rPr>
                <w:b/>
              </w:rPr>
            </w:pPr>
          </w:p>
        </w:tc>
      </w:tr>
      <w:tr w:rsidR="009E59E5" w14:paraId="3945D920" w14:textId="45A2E288" w:rsidTr="00861F79">
        <w:sdt>
          <w:sdtPr>
            <w:rPr>
              <w:sz w:val="24"/>
            </w:rPr>
            <w:id w:val="-4475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DA8639E" w14:textId="3501EDCE" w:rsidR="009E59E5" w:rsidRDefault="009E59E5" w:rsidP="00012907">
                <w:pPr>
                  <w:pStyle w:val="Table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600259AC" w14:textId="77777777" w:rsidR="009E59E5" w:rsidRDefault="009E59E5" w:rsidP="00012907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5536FAF1" w14:textId="0B2467A7" w:rsidR="009E59E5" w:rsidRPr="00120EFB" w:rsidRDefault="009E59E5" w:rsidP="00012907">
            <w:pPr>
              <w:pStyle w:val="ListBullet"/>
              <w:numPr>
                <w:ilvl w:val="0"/>
                <w:numId w:val="0"/>
              </w:numPr>
              <w:ind w:left="17"/>
              <w:rPr>
                <w:b/>
                <w:color w:val="333333"/>
              </w:rPr>
            </w:pPr>
            <w:r w:rsidRPr="00120EFB">
              <w:rPr>
                <w:b/>
                <w:color w:val="333333"/>
              </w:rPr>
              <w:t>As set out in SIMS</w:t>
            </w:r>
            <w:r w:rsidRPr="00120EFB">
              <w:rPr>
                <w:color w:val="333333"/>
              </w:rPr>
              <w:t xml:space="preserve">, </w:t>
            </w:r>
            <w:r w:rsidR="00BF2B4F" w:rsidRPr="00120EFB">
              <w:rPr>
                <w:color w:val="333333"/>
              </w:rPr>
              <w:t xml:space="preserve">school staff </w:t>
            </w:r>
            <w:r w:rsidRPr="00120EFB">
              <w:rPr>
                <w:color w:val="333333"/>
              </w:rPr>
              <w:t xml:space="preserve">ensure that the </w:t>
            </w:r>
            <w:r w:rsidR="00DD0D92">
              <w:rPr>
                <w:color w:val="333333"/>
              </w:rPr>
              <w:t>p</w:t>
            </w:r>
            <w:r w:rsidRPr="00120EFB">
              <w:rPr>
                <w:color w:val="333333"/>
              </w:rPr>
              <w:t>rincipal (or delegate) is aware of the incident</w:t>
            </w:r>
          </w:p>
        </w:tc>
        <w:tc>
          <w:tcPr>
            <w:tcW w:w="3556" w:type="dxa"/>
            <w:vAlign w:val="center"/>
          </w:tcPr>
          <w:p w14:paraId="14D94CB5" w14:textId="77777777" w:rsidR="009E59E5" w:rsidRPr="00012907" w:rsidRDefault="009E59E5" w:rsidP="00012907">
            <w:pPr>
              <w:pStyle w:val="ListBullet"/>
              <w:numPr>
                <w:ilvl w:val="0"/>
                <w:numId w:val="0"/>
              </w:numPr>
              <w:ind w:left="17"/>
              <w:rPr>
                <w:b/>
              </w:rPr>
            </w:pPr>
          </w:p>
        </w:tc>
      </w:tr>
      <w:tr w:rsidR="009E59E5" w14:paraId="240B6D8D" w14:textId="6F60724D" w:rsidTr="00861F79">
        <w:sdt>
          <w:sdtPr>
            <w:rPr>
              <w:sz w:val="24"/>
            </w:rPr>
            <w:id w:val="12767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0E5CBEB" w14:textId="51C612C5" w:rsidR="009E59E5" w:rsidRDefault="00BC2965" w:rsidP="00012907">
                <w:pPr>
                  <w:pStyle w:val="Table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5ACCA846" w14:textId="77777777" w:rsidR="009E59E5" w:rsidRDefault="009E59E5" w:rsidP="00012907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78605E37" w14:textId="31324C6B" w:rsidR="009E59E5" w:rsidRPr="005356DE" w:rsidRDefault="009E59E5" w:rsidP="00A05549">
            <w:pPr>
              <w:pStyle w:val="ListBullet"/>
              <w:numPr>
                <w:ilvl w:val="0"/>
                <w:numId w:val="0"/>
              </w:numPr>
              <w:ind w:left="17"/>
              <w:rPr>
                <w:b/>
              </w:rPr>
            </w:pPr>
            <w:r w:rsidRPr="00012907">
              <w:rPr>
                <w:b/>
              </w:rPr>
              <w:t>As set out in SIMS</w:t>
            </w:r>
            <w:r>
              <w:t xml:space="preserve">, </w:t>
            </w:r>
            <w:r w:rsidRPr="005356DE">
              <w:t>contact the student’s parent</w:t>
            </w:r>
            <w:r>
              <w:t>s</w:t>
            </w:r>
            <w:r w:rsidRPr="005356DE">
              <w:t xml:space="preserve"> or </w:t>
            </w:r>
            <w:r>
              <w:t>DHA-approved relative where appropriate</w:t>
            </w:r>
            <w:r w:rsidR="00A05549">
              <w:t xml:space="preserve"> (with use of interpreter if required)</w:t>
            </w:r>
            <w:r w:rsidR="00AC6A30">
              <w:t xml:space="preserve">. </w:t>
            </w:r>
            <w:r w:rsidR="00AC6A30" w:rsidRPr="00AD4E7B">
              <w:t xml:space="preserve">If required, please see </w:t>
            </w:r>
            <w:hyperlink r:id="rId15" w:history="1">
              <w:r w:rsidR="00AC6A30" w:rsidRPr="00AD4E7B">
                <w:rPr>
                  <w:rStyle w:val="Hyperlink"/>
                </w:rPr>
                <w:t>Interpreting and Translation Services: Telephone interpreting service</w:t>
              </w:r>
            </w:hyperlink>
            <w:r w:rsidR="00AC6A30" w:rsidRPr="00AD4E7B">
              <w:t xml:space="preserve"> on PAL for Language Loop’s contact details.</w:t>
            </w:r>
          </w:p>
        </w:tc>
        <w:tc>
          <w:tcPr>
            <w:tcW w:w="3556" w:type="dxa"/>
            <w:vAlign w:val="center"/>
          </w:tcPr>
          <w:p w14:paraId="620DD6CD" w14:textId="77777777" w:rsidR="009E59E5" w:rsidRPr="00012907" w:rsidRDefault="009E59E5" w:rsidP="00012907">
            <w:pPr>
              <w:pStyle w:val="ListBullet"/>
              <w:numPr>
                <w:ilvl w:val="0"/>
                <w:numId w:val="0"/>
              </w:numPr>
              <w:ind w:left="17"/>
              <w:rPr>
                <w:b/>
              </w:rPr>
            </w:pPr>
          </w:p>
        </w:tc>
      </w:tr>
      <w:tr w:rsidR="009E59E5" w:rsidRPr="006917FD" w14:paraId="38F560FD" w14:textId="65B8C2E2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7C1949FD" w14:textId="0F486D31" w:rsidR="009E59E5" w:rsidRPr="005356DE" w:rsidRDefault="009E59E5" w:rsidP="00EF131B">
            <w:pPr>
              <w:pStyle w:val="TableHeader2"/>
              <w:keepNext/>
            </w:pPr>
            <w:r w:rsidRPr="005356DE">
              <w:lastRenderedPageBreak/>
              <w:t>Step 2: Reporting an Incident</w:t>
            </w:r>
          </w:p>
        </w:tc>
      </w:tr>
      <w:tr w:rsidR="009E59E5" w14:paraId="754C3DC9" w14:textId="713872B5" w:rsidTr="00EF131B">
        <w:trPr>
          <w:cantSplit/>
        </w:trPr>
        <w:sdt>
          <w:sdtPr>
            <w:rPr>
              <w:sz w:val="24"/>
            </w:rPr>
            <w:id w:val="12442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0E4BBED" w14:textId="2202315C" w:rsidR="009E59E5" w:rsidRPr="00E95F26" w:rsidRDefault="009E59E5" w:rsidP="00235F96">
                <w:pPr>
                  <w:pStyle w:val="Table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220A4047" w14:textId="77777777" w:rsidR="009E59E5" w:rsidRDefault="009E59E5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7E509AB6" w14:textId="5775C90A" w:rsidR="009E59E5" w:rsidRDefault="009E59E5" w:rsidP="00235F96">
            <w:pPr>
              <w:spacing w:before="40" w:after="40"/>
            </w:pPr>
            <w:r w:rsidRPr="00120EFB">
              <w:rPr>
                <w:b/>
              </w:rPr>
              <w:t>As set out in SIMS</w:t>
            </w:r>
            <w:r w:rsidRPr="00120EFB">
              <w:t xml:space="preserve">, the </w:t>
            </w:r>
            <w:r w:rsidR="00DD0D92">
              <w:t>p</w:t>
            </w:r>
            <w:r w:rsidRPr="00120EFB">
              <w:t xml:space="preserve">rincipal (or delegate) calls DET's ISOC on 1800 126 126 to report the incident and categorise its severity. </w:t>
            </w:r>
            <w:r w:rsidR="00A05549" w:rsidRPr="00120EFB">
              <w:t xml:space="preserve">Tell ISOC </w:t>
            </w:r>
            <w:r w:rsidRPr="00120EFB">
              <w:t>that the incident relates to an ‘international student’ and the student’s welfare arrangement. ISOC will distribute the IRIS alert to relevant areas of DET.</w:t>
            </w:r>
          </w:p>
        </w:tc>
        <w:tc>
          <w:tcPr>
            <w:tcW w:w="3556" w:type="dxa"/>
            <w:vAlign w:val="center"/>
          </w:tcPr>
          <w:p w14:paraId="1D957714" w14:textId="77777777" w:rsidR="009E59E5" w:rsidRPr="00012907" w:rsidRDefault="009E59E5" w:rsidP="00235F96">
            <w:pPr>
              <w:spacing w:before="40" w:after="40"/>
              <w:rPr>
                <w:b/>
              </w:rPr>
            </w:pPr>
          </w:p>
        </w:tc>
      </w:tr>
      <w:tr w:rsidR="009E59E5" w:rsidRPr="006917FD" w14:paraId="7EADB917" w14:textId="4D9993C4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17C6AD28" w14:textId="073AAA19" w:rsidR="009E59E5" w:rsidRPr="005356DE" w:rsidRDefault="009E59E5" w:rsidP="00DB0094">
            <w:pPr>
              <w:pStyle w:val="TableHeader2"/>
              <w:keepNext/>
            </w:pPr>
            <w:r w:rsidRPr="005356DE">
              <w:t>Step 3: Ongoing support and recovery</w:t>
            </w:r>
          </w:p>
        </w:tc>
      </w:tr>
      <w:tr w:rsidR="009E59E5" w14:paraId="0A7ECC96" w14:textId="3BEDA109" w:rsidTr="00861F79">
        <w:sdt>
          <w:sdtPr>
            <w:rPr>
              <w:sz w:val="24"/>
            </w:rPr>
            <w:id w:val="-45063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84D7B1B" w14:textId="0D29021C" w:rsidR="009E59E5" w:rsidRDefault="009E59E5" w:rsidP="00235F96">
                <w:pPr>
                  <w:pStyle w:val="TableText"/>
                  <w:jc w:val="center"/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3F788CDB" w14:textId="77777777" w:rsidR="009E59E5" w:rsidRDefault="009E59E5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0EC0836E" w14:textId="52F24ECC" w:rsidR="009E59E5" w:rsidRDefault="009E59E5" w:rsidP="00235F96">
            <w:pPr>
              <w:spacing w:before="40" w:after="40"/>
            </w:pPr>
            <w:r w:rsidRPr="00821B3F">
              <w:rPr>
                <w:b/>
              </w:rPr>
              <w:t>As set out in SIMS</w:t>
            </w:r>
            <w:r w:rsidRPr="009E59E5">
              <w:t xml:space="preserve">, </w:t>
            </w:r>
            <w:r w:rsidR="00821B3F">
              <w:t xml:space="preserve">the </w:t>
            </w:r>
            <w:r w:rsidR="00601E4A">
              <w:t>p</w:t>
            </w:r>
            <w:r w:rsidR="00821B3F">
              <w:t xml:space="preserve">rincipal (or delegate) </w:t>
            </w:r>
            <w:r w:rsidRPr="009E59E5">
              <w:t>manage</w:t>
            </w:r>
            <w:r w:rsidR="00821B3F">
              <w:t>s</w:t>
            </w:r>
            <w:r w:rsidRPr="009E59E5">
              <w:t xml:space="preserve"> the response to the incident, including discussions with the international student (and if relevant, parents, homestay host and any other stakeholders), and ensure that there is appropriate input from DET </w:t>
            </w:r>
            <w:r w:rsidR="00601E4A">
              <w:t>c</w:t>
            </w:r>
            <w:r w:rsidRPr="009E59E5">
              <w:t xml:space="preserve">entral and </w:t>
            </w:r>
            <w:r w:rsidR="00601E4A">
              <w:t>r</w:t>
            </w:r>
            <w:r w:rsidRPr="009E59E5">
              <w:t>egions.</w:t>
            </w:r>
          </w:p>
        </w:tc>
        <w:tc>
          <w:tcPr>
            <w:tcW w:w="3556" w:type="dxa"/>
            <w:vAlign w:val="center"/>
          </w:tcPr>
          <w:p w14:paraId="573D983E" w14:textId="77777777" w:rsidR="00BF2B4F" w:rsidRPr="00EF131B" w:rsidRDefault="00BF2B4F" w:rsidP="00235F96">
            <w:pPr>
              <w:spacing w:before="40" w:after="40"/>
              <w:rPr>
                <w:i/>
              </w:rPr>
            </w:pPr>
          </w:p>
          <w:p w14:paraId="363AF735" w14:textId="77777777" w:rsidR="00BF2B4F" w:rsidRPr="00EF131B" w:rsidRDefault="00BF2B4F" w:rsidP="00235F96">
            <w:pPr>
              <w:spacing w:before="40" w:after="40"/>
              <w:rPr>
                <w:i/>
              </w:rPr>
            </w:pPr>
          </w:p>
          <w:p w14:paraId="2647B761" w14:textId="217A9B47" w:rsidR="009E59E5" w:rsidRPr="00BF2B4F" w:rsidRDefault="00BF2B4F" w:rsidP="00235F96">
            <w:pPr>
              <w:spacing w:before="40" w:after="40"/>
              <w:rPr>
                <w:i/>
              </w:rPr>
            </w:pPr>
            <w:r w:rsidRPr="00EF131B">
              <w:rPr>
                <w:i/>
              </w:rPr>
              <w:t xml:space="preserve">Note: If the student is living in a homestay, the </w:t>
            </w:r>
            <w:r w:rsidR="00601E4A" w:rsidRPr="00EF131B">
              <w:rPr>
                <w:i/>
              </w:rPr>
              <w:t>p</w:t>
            </w:r>
            <w:r w:rsidRPr="00EF131B">
              <w:rPr>
                <w:i/>
              </w:rPr>
              <w:t>rincipal (or delegate) must ensure the student has appropriate accommodation, welfare and general support</w:t>
            </w:r>
            <w:r w:rsidR="00A05549" w:rsidRPr="00EF131B">
              <w:rPr>
                <w:i/>
              </w:rPr>
              <w:t xml:space="preserve"> – this includes attending any police interviews or medical </w:t>
            </w:r>
            <w:r w:rsidR="00861F79" w:rsidRPr="00EF131B">
              <w:rPr>
                <w:i/>
              </w:rPr>
              <w:t>treatment and</w:t>
            </w:r>
            <w:r w:rsidR="00A05549" w:rsidRPr="00EF131B">
              <w:rPr>
                <w:i/>
              </w:rPr>
              <w:t xml:space="preserve"> providing emergency homestay accommodation as required</w:t>
            </w:r>
            <w:r w:rsidRPr="00EF131B">
              <w:rPr>
                <w:i/>
              </w:rPr>
              <w:t>.</w:t>
            </w:r>
          </w:p>
        </w:tc>
      </w:tr>
      <w:tr w:rsidR="009E59E5" w14:paraId="3FF5C214" w14:textId="2852C74D" w:rsidTr="00861F79">
        <w:sdt>
          <w:sdtPr>
            <w:rPr>
              <w:sz w:val="24"/>
            </w:rPr>
            <w:id w:val="-22622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EE7F860" w14:textId="058C4DD1" w:rsidR="009E59E5" w:rsidRDefault="009E59E5" w:rsidP="00235F96">
                <w:pPr>
                  <w:pStyle w:val="TableText"/>
                  <w:jc w:val="center"/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64305E28" w14:textId="77777777" w:rsidR="009E59E5" w:rsidRDefault="009E59E5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2E9908DD" w14:textId="61DE0265" w:rsidR="009E59E5" w:rsidRDefault="00821B3F" w:rsidP="00235F96">
            <w:pPr>
              <w:spacing w:before="40" w:after="40"/>
            </w:pPr>
            <w:r w:rsidRPr="00821B3F">
              <w:rPr>
                <w:b/>
              </w:rPr>
              <w:t>As set out in SIMS</w:t>
            </w:r>
            <w:r w:rsidRPr="00821B3F">
              <w:t xml:space="preserve">, </w:t>
            </w:r>
            <w:r>
              <w:t xml:space="preserve">the </w:t>
            </w:r>
            <w:r w:rsidR="00601E4A">
              <w:t>p</w:t>
            </w:r>
            <w:r>
              <w:t xml:space="preserve">rincipal (or delegate) must </w:t>
            </w:r>
            <w:r w:rsidRPr="00821B3F">
              <w:t>consider international-student specific circumstances and obligations for re</w:t>
            </w:r>
            <w:r w:rsidR="00BF2B4F">
              <w:t xml:space="preserve">porting and additional support. The IRIS alert will trigger relevant areas of DET who support the </w:t>
            </w:r>
            <w:r w:rsidR="00601E4A">
              <w:t>p</w:t>
            </w:r>
            <w:r w:rsidR="00BF2B4F">
              <w:t>rincipal (or delegate) as required.</w:t>
            </w:r>
          </w:p>
        </w:tc>
        <w:tc>
          <w:tcPr>
            <w:tcW w:w="3556" w:type="dxa"/>
            <w:vAlign w:val="center"/>
          </w:tcPr>
          <w:p w14:paraId="0AB49E42" w14:textId="77777777" w:rsidR="009E59E5" w:rsidRDefault="009E59E5" w:rsidP="00235F96">
            <w:pPr>
              <w:spacing w:before="40" w:after="40"/>
            </w:pPr>
          </w:p>
        </w:tc>
      </w:tr>
      <w:tr w:rsidR="009E59E5" w14:paraId="0A394702" w14:textId="30D5E8DA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1952CA0A" w14:textId="4A7120A5" w:rsidR="009E59E5" w:rsidRPr="005356DE" w:rsidRDefault="009E59E5" w:rsidP="00F625C6">
            <w:pPr>
              <w:pStyle w:val="TableHeader2"/>
            </w:pPr>
            <w:r w:rsidRPr="005356DE">
              <w:t>Step 4: Investigate</w:t>
            </w:r>
          </w:p>
        </w:tc>
      </w:tr>
      <w:tr w:rsidR="009E59E5" w14:paraId="2E4E91B4" w14:textId="181DA91E" w:rsidTr="00861F79">
        <w:sdt>
          <w:sdtPr>
            <w:rPr>
              <w:sz w:val="24"/>
            </w:rPr>
            <w:id w:val="-5847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25CFFEC" w14:textId="439998AA" w:rsidR="009E59E5" w:rsidRDefault="009E59E5" w:rsidP="00BC2965">
                <w:pPr>
                  <w:pStyle w:val="TableText"/>
                  <w:jc w:val="center"/>
                  <w:rPr>
                    <w:sz w:val="24"/>
                  </w:rPr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74D2FCAA" w14:textId="77777777" w:rsidR="009E59E5" w:rsidRDefault="009E59E5" w:rsidP="00BC2965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5D33FBC5" w14:textId="59CF0BC6" w:rsidR="009E59E5" w:rsidRDefault="00821B3F" w:rsidP="00BC2965">
            <w:pPr>
              <w:spacing w:before="40" w:after="40"/>
            </w:pPr>
            <w:r w:rsidRPr="00821B3F">
              <w:rPr>
                <w:b/>
              </w:rPr>
              <w:t>As set out in SIMS</w:t>
            </w:r>
            <w:r w:rsidRPr="00821B3F">
              <w:t xml:space="preserve">, </w:t>
            </w:r>
            <w:r w:rsidR="00BF2B4F">
              <w:t xml:space="preserve">the </w:t>
            </w:r>
            <w:r w:rsidR="004221BD">
              <w:t>p</w:t>
            </w:r>
            <w:r w:rsidR="00BF2B4F">
              <w:t xml:space="preserve">rincipal (or delegate) </w:t>
            </w:r>
            <w:r w:rsidRPr="00821B3F">
              <w:t>undertake</w:t>
            </w:r>
            <w:r w:rsidR="00BF2B4F">
              <w:t>s</w:t>
            </w:r>
            <w:r w:rsidRPr="00821B3F">
              <w:t xml:space="preserve"> follow-up actions, including liaising with student, parents, homestay host and any other relevant stakeholders.</w:t>
            </w:r>
          </w:p>
        </w:tc>
        <w:tc>
          <w:tcPr>
            <w:tcW w:w="3556" w:type="dxa"/>
            <w:vAlign w:val="center"/>
          </w:tcPr>
          <w:p w14:paraId="44EDA250" w14:textId="77777777" w:rsidR="009E59E5" w:rsidRDefault="009E59E5" w:rsidP="00BC2965">
            <w:pPr>
              <w:spacing w:before="40" w:after="40"/>
            </w:pPr>
          </w:p>
        </w:tc>
      </w:tr>
      <w:tr w:rsidR="009E59E5" w14:paraId="37A6D4E5" w14:textId="6B78BCAA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11EAAB4A" w14:textId="3A7A28DF" w:rsidR="009E59E5" w:rsidRPr="005356DE" w:rsidRDefault="009E59E5" w:rsidP="00F625C6">
            <w:pPr>
              <w:pStyle w:val="TableHeader2"/>
            </w:pPr>
            <w:r w:rsidRPr="005356DE">
              <w:t>Step 5: Review and close</w:t>
            </w:r>
          </w:p>
        </w:tc>
      </w:tr>
      <w:tr w:rsidR="009E59E5" w14:paraId="5F8D4149" w14:textId="72B9EE27" w:rsidTr="00861F79">
        <w:sdt>
          <w:sdtPr>
            <w:rPr>
              <w:sz w:val="24"/>
            </w:rPr>
            <w:id w:val="-2462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A770C90" w14:textId="6CA3C3D3" w:rsidR="009E59E5" w:rsidRDefault="009E59E5" w:rsidP="00235F96">
                <w:pPr>
                  <w:pStyle w:val="TableText"/>
                  <w:jc w:val="center"/>
                  <w:rPr>
                    <w:sz w:val="24"/>
                  </w:rPr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2429E248" w14:textId="77777777" w:rsidR="009E59E5" w:rsidRDefault="009E59E5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75DAA232" w14:textId="6E98C810" w:rsidR="009E59E5" w:rsidRDefault="00BF2B4F" w:rsidP="00235F96">
            <w:pPr>
              <w:spacing w:before="40" w:after="40"/>
            </w:pPr>
            <w:r w:rsidRPr="00821B3F">
              <w:rPr>
                <w:b/>
              </w:rPr>
              <w:t>As set out in SIMS</w:t>
            </w:r>
            <w:r w:rsidRPr="00821B3F">
              <w:t xml:space="preserve">, </w:t>
            </w:r>
            <w:r>
              <w:t xml:space="preserve">the </w:t>
            </w:r>
            <w:r w:rsidR="00B84E35">
              <w:t>p</w:t>
            </w:r>
            <w:r>
              <w:t xml:space="preserve">rincipal (or delegate) </w:t>
            </w:r>
            <w:r w:rsidRPr="00821B3F">
              <w:t>undertake</w:t>
            </w:r>
            <w:r>
              <w:t>s</w:t>
            </w:r>
            <w:r w:rsidR="00821B3F" w:rsidRPr="00821B3F">
              <w:t xml:space="preserve"> follow-up actions, including appropriate record keeping</w:t>
            </w:r>
            <w:r w:rsidR="00821B3F">
              <w:t xml:space="preserve">. </w:t>
            </w:r>
          </w:p>
        </w:tc>
        <w:tc>
          <w:tcPr>
            <w:tcW w:w="3556" w:type="dxa"/>
            <w:vAlign w:val="center"/>
          </w:tcPr>
          <w:p w14:paraId="61F237D1" w14:textId="77777777" w:rsidR="009E59E5" w:rsidRDefault="009E59E5" w:rsidP="00235F96">
            <w:pPr>
              <w:spacing w:before="40" w:after="40"/>
            </w:pPr>
          </w:p>
        </w:tc>
      </w:tr>
      <w:tr w:rsidR="00BF2B4F" w14:paraId="69C52743" w14:textId="77777777" w:rsidTr="00861F79">
        <w:sdt>
          <w:sdtPr>
            <w:rPr>
              <w:sz w:val="24"/>
            </w:rPr>
            <w:id w:val="-81572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4CD099F" w14:textId="7286699A" w:rsidR="00BF2B4F" w:rsidRDefault="00BF2B4F" w:rsidP="00235F96">
                <w:pPr>
                  <w:pStyle w:val="TableText"/>
                  <w:jc w:val="center"/>
                  <w:rPr>
                    <w:sz w:val="24"/>
                  </w:rPr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78F70867" w14:textId="77777777" w:rsidR="00BF2B4F" w:rsidRDefault="00BF2B4F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380A4A22" w14:textId="44B8D80E" w:rsidR="00BF2B4F" w:rsidRPr="00821B3F" w:rsidRDefault="00BF2B4F" w:rsidP="00235F96">
            <w:pPr>
              <w:spacing w:before="40" w:after="40"/>
            </w:pPr>
            <w:r>
              <w:t>School staff record this checklist in the student’s file.</w:t>
            </w:r>
          </w:p>
        </w:tc>
        <w:tc>
          <w:tcPr>
            <w:tcW w:w="3556" w:type="dxa"/>
            <w:vAlign w:val="center"/>
          </w:tcPr>
          <w:p w14:paraId="7DCAD7C9" w14:textId="77777777" w:rsidR="00BF2B4F" w:rsidRDefault="00BF2B4F" w:rsidP="00235F96">
            <w:pPr>
              <w:spacing w:before="40" w:after="40"/>
            </w:pPr>
          </w:p>
        </w:tc>
      </w:tr>
      <w:tr w:rsidR="00BF2B4F" w14:paraId="73EF3670" w14:textId="24542B43" w:rsidTr="00BB329C">
        <w:tc>
          <w:tcPr>
            <w:tcW w:w="10450" w:type="dxa"/>
            <w:gridSpan w:val="4"/>
            <w:shd w:val="clear" w:color="auto" w:fill="542E8E"/>
            <w:vAlign w:val="center"/>
          </w:tcPr>
          <w:p w14:paraId="4C0C771D" w14:textId="1C9CB5C6" w:rsidR="00BF2B4F" w:rsidRPr="005356DE" w:rsidRDefault="00BF2B4F" w:rsidP="00BF2B4F">
            <w:pPr>
              <w:pStyle w:val="TableHeader2"/>
            </w:pPr>
            <w:r w:rsidRPr="005356DE">
              <w:t>Step 6: Analyse and learn</w:t>
            </w:r>
          </w:p>
        </w:tc>
      </w:tr>
      <w:tr w:rsidR="00BF2B4F" w14:paraId="785276F3" w14:textId="15428235" w:rsidTr="00861F79">
        <w:sdt>
          <w:sdtPr>
            <w:rPr>
              <w:sz w:val="24"/>
            </w:rPr>
            <w:id w:val="-174001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DB87757" w14:textId="0E79BF43" w:rsidR="00BF2B4F" w:rsidRDefault="00BF2B4F" w:rsidP="00235F96">
                <w:pPr>
                  <w:pStyle w:val="TableText"/>
                  <w:jc w:val="center"/>
                  <w:rPr>
                    <w:sz w:val="24"/>
                  </w:rPr>
                </w:pPr>
                <w:r w:rsidRPr="002C29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16" w:type="dxa"/>
            <w:vAlign w:val="center"/>
          </w:tcPr>
          <w:p w14:paraId="78C6F4EE" w14:textId="77777777" w:rsidR="00BF2B4F" w:rsidRDefault="00BF2B4F" w:rsidP="00235F96">
            <w:pPr>
              <w:spacing w:before="40" w:after="40" w:line="240" w:lineRule="auto"/>
            </w:pPr>
          </w:p>
        </w:tc>
        <w:tc>
          <w:tcPr>
            <w:tcW w:w="4750" w:type="dxa"/>
            <w:vAlign w:val="center"/>
          </w:tcPr>
          <w:p w14:paraId="03AF54BD" w14:textId="0DD4ACD8" w:rsidR="00BF2B4F" w:rsidRDefault="00BF2B4F" w:rsidP="00235F96">
            <w:pPr>
              <w:spacing w:before="40" w:after="40"/>
            </w:pPr>
            <w:r w:rsidRPr="00821B3F">
              <w:rPr>
                <w:b/>
              </w:rPr>
              <w:t>As set out in SIMS</w:t>
            </w:r>
            <w:r w:rsidRPr="00821B3F">
              <w:t xml:space="preserve">, </w:t>
            </w:r>
            <w:r>
              <w:t xml:space="preserve">the </w:t>
            </w:r>
            <w:r w:rsidR="00B84E35">
              <w:t>p</w:t>
            </w:r>
            <w:r>
              <w:t xml:space="preserve">rincipal (or delegate) </w:t>
            </w:r>
            <w:r w:rsidRPr="00821B3F">
              <w:t>undertake</w:t>
            </w:r>
            <w:r>
              <w:t>s</w:t>
            </w:r>
            <w:r w:rsidRPr="00821B3F">
              <w:t xml:space="preserve"> follow-up actions</w:t>
            </w:r>
            <w:r>
              <w:t xml:space="preserve"> to analyse and learn from the incident and the school’s response.</w:t>
            </w:r>
          </w:p>
        </w:tc>
        <w:tc>
          <w:tcPr>
            <w:tcW w:w="3556" w:type="dxa"/>
            <w:vAlign w:val="center"/>
          </w:tcPr>
          <w:p w14:paraId="3389E998" w14:textId="77777777" w:rsidR="00BF2B4F" w:rsidRDefault="00BF2B4F" w:rsidP="00235F96">
            <w:pPr>
              <w:spacing w:before="40" w:after="40"/>
            </w:pPr>
          </w:p>
        </w:tc>
      </w:tr>
    </w:tbl>
    <w:p w14:paraId="1DA2C16B" w14:textId="074219F5" w:rsidR="00FA4664" w:rsidRPr="00FF7DB7" w:rsidRDefault="00FA4664" w:rsidP="00EB211E">
      <w:pPr>
        <w:pStyle w:val="ListParagraph"/>
        <w:ind w:left="360"/>
      </w:pPr>
    </w:p>
    <w:tbl>
      <w:tblPr>
        <w:tblStyle w:val="TableGrid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2"/>
      </w:tblGrid>
      <w:tr w:rsidR="00FF7DB7" w:rsidRPr="00FF7DB7" w14:paraId="4FCF810D" w14:textId="77777777" w:rsidTr="00FF7DB7">
        <w:trPr>
          <w:trHeight w:val="1176"/>
        </w:trPr>
        <w:tc>
          <w:tcPr>
            <w:tcW w:w="10952" w:type="dxa"/>
          </w:tcPr>
          <w:p w14:paraId="7DB9519D" w14:textId="77777777" w:rsidR="00FF7DB7" w:rsidRPr="00FF7DB7" w:rsidRDefault="00FF7DB7" w:rsidP="001E641B">
            <w:pPr>
              <w:rPr>
                <w:rFonts w:cs="Arial"/>
                <w:b/>
                <w:szCs w:val="18"/>
              </w:rPr>
            </w:pPr>
            <w:r w:rsidRPr="00FF7DB7">
              <w:rPr>
                <w:rFonts w:cs="Arial"/>
                <w:b/>
                <w:szCs w:val="18"/>
              </w:rPr>
              <w:t xml:space="preserve">I confirm that the checklist has been completed </w:t>
            </w:r>
          </w:p>
          <w:p w14:paraId="5B3C681D" w14:textId="77777777" w:rsidR="00FF7DB7" w:rsidRPr="00FF7DB7" w:rsidRDefault="00FF7DB7" w:rsidP="001E641B">
            <w:pPr>
              <w:rPr>
                <w:rFonts w:cs="Arial"/>
                <w:szCs w:val="18"/>
              </w:rPr>
            </w:pPr>
          </w:p>
          <w:p w14:paraId="377304CA" w14:textId="1246A257" w:rsidR="00FF7DB7" w:rsidRPr="00FF7DB7" w:rsidRDefault="00FF7DB7" w:rsidP="001E641B">
            <w:pPr>
              <w:rPr>
                <w:rFonts w:cs="Arial"/>
                <w:szCs w:val="18"/>
              </w:rPr>
            </w:pPr>
            <w:r w:rsidRPr="00FF7DB7">
              <w:rPr>
                <w:rFonts w:cs="Arial"/>
                <w:szCs w:val="18"/>
              </w:rPr>
              <w:t>Signature: ________________________</w:t>
            </w:r>
            <w:r w:rsidR="00661AF8" w:rsidRPr="00FF7DB7">
              <w:rPr>
                <w:rFonts w:cs="Arial"/>
                <w:szCs w:val="18"/>
              </w:rPr>
              <w:t>____________</w:t>
            </w:r>
            <w:r w:rsidRPr="00FF7DB7">
              <w:rPr>
                <w:rFonts w:cs="Arial"/>
                <w:szCs w:val="18"/>
              </w:rPr>
              <w:t xml:space="preserve">                              Date: ____________________________</w:t>
            </w:r>
          </w:p>
          <w:p w14:paraId="3A29744A" w14:textId="5C136559" w:rsidR="00FF7DB7" w:rsidRDefault="00FF7DB7" w:rsidP="00FF7DB7">
            <w:pPr>
              <w:rPr>
                <w:rFonts w:cs="Arial"/>
                <w:szCs w:val="18"/>
              </w:rPr>
            </w:pPr>
            <w:r w:rsidRPr="00FF7DB7">
              <w:rPr>
                <w:rFonts w:cs="Arial"/>
                <w:szCs w:val="18"/>
              </w:rPr>
              <w:t xml:space="preserve">                 </w:t>
            </w:r>
            <w:r w:rsidR="00BF2B4F">
              <w:rPr>
                <w:rFonts w:cs="Arial"/>
                <w:szCs w:val="18"/>
              </w:rPr>
              <w:t>Principal (or delegate)</w:t>
            </w:r>
          </w:p>
          <w:p w14:paraId="337BAAB7" w14:textId="77777777" w:rsidR="007F7DD9" w:rsidRDefault="007F7DD9" w:rsidP="007F7DD9">
            <w:pPr>
              <w:rPr>
                <w:rFonts w:cs="Arial"/>
                <w:b/>
                <w:szCs w:val="18"/>
              </w:rPr>
            </w:pPr>
          </w:p>
          <w:p w14:paraId="528B9492" w14:textId="33773024" w:rsidR="007F7DD9" w:rsidRPr="00FF7DB7" w:rsidRDefault="007F7DD9" w:rsidP="00850798">
            <w:pPr>
              <w:rPr>
                <w:rFonts w:cs="Arial"/>
                <w:szCs w:val="18"/>
              </w:rPr>
            </w:pPr>
            <w:r w:rsidRPr="00FF7DB7">
              <w:rPr>
                <w:rFonts w:cs="Arial"/>
                <w:b/>
                <w:szCs w:val="18"/>
              </w:rPr>
              <w:t xml:space="preserve">Once completed, the checklist </w:t>
            </w:r>
            <w:r>
              <w:rPr>
                <w:rFonts w:cs="Arial"/>
                <w:b/>
                <w:szCs w:val="18"/>
              </w:rPr>
              <w:t>must</w:t>
            </w:r>
            <w:r w:rsidRPr="00FF7DB7">
              <w:rPr>
                <w:rFonts w:cs="Arial"/>
                <w:b/>
                <w:szCs w:val="18"/>
              </w:rPr>
              <w:t xml:space="preserve"> be stored in the student file.</w:t>
            </w:r>
          </w:p>
        </w:tc>
      </w:tr>
    </w:tbl>
    <w:p w14:paraId="2BCA4E9D" w14:textId="656AD505" w:rsidR="00D9063F" w:rsidRDefault="007F7DD9" w:rsidP="00D9063F">
      <w:pPr>
        <w:pStyle w:val="Heading2"/>
      </w:pPr>
      <w:r>
        <w:br w:type="column"/>
      </w:r>
      <w:r w:rsidR="00920011">
        <w:lastRenderedPageBreak/>
        <w:t>Related d</w:t>
      </w:r>
      <w:r w:rsidR="00D9063F">
        <w:t>ocuments</w:t>
      </w:r>
    </w:p>
    <w:p w14:paraId="6AD0349C" w14:textId="7655D638" w:rsidR="00E34930" w:rsidRPr="00B74FAF" w:rsidRDefault="0092105A" w:rsidP="002F58F6">
      <w:pPr>
        <w:pStyle w:val="ListBullet"/>
        <w:numPr>
          <w:ilvl w:val="0"/>
          <w:numId w:val="6"/>
        </w:numPr>
        <w:rPr>
          <w:rStyle w:val="Hyperlink"/>
        </w:rPr>
      </w:pPr>
      <w:hyperlink r:id="rId16" w:history="1">
        <w:r w:rsidR="00E34930" w:rsidRPr="0092105A">
          <w:rPr>
            <w:rStyle w:val="Hyperlink"/>
          </w:rPr>
          <w:t>School Incident Management System Policy and Guidelines</w:t>
        </w:r>
      </w:hyperlink>
      <w:r w:rsidR="00B74FAF" w:rsidRPr="00B74FAF">
        <w:rPr>
          <w:rStyle w:val="Hyperlink"/>
        </w:rPr>
        <w:t xml:space="preserve"> </w:t>
      </w:r>
    </w:p>
    <w:p w14:paraId="507F2507" w14:textId="71A2646D" w:rsidR="00E34930" w:rsidRPr="0027079D" w:rsidRDefault="0027079D" w:rsidP="002F58F6">
      <w:pPr>
        <w:pStyle w:val="ListBullet"/>
        <w:numPr>
          <w:ilvl w:val="0"/>
          <w:numId w:val="6"/>
        </w:numPr>
        <w:rPr>
          <w:rStyle w:val="Hyperlink"/>
        </w:rPr>
      </w:pPr>
      <w:r w:rsidRPr="002F58F6">
        <w:rPr>
          <w:rStyle w:val="Hyperlink"/>
        </w:rPr>
        <w:fldChar w:fldCharType="begin"/>
      </w:r>
      <w:r w:rsidRPr="002F58F6">
        <w:rPr>
          <w:rStyle w:val="Hyperlink"/>
        </w:rPr>
        <w:instrText xml:space="preserve"> HYPERLINK "https://www2.education.vic.gov.au/pal/reporting-and-managing-school-incidents-including-emergencies/policy" </w:instrText>
      </w:r>
      <w:r w:rsidRPr="002F58F6">
        <w:rPr>
          <w:rStyle w:val="Hyperlink"/>
        </w:rPr>
        <w:fldChar w:fldCharType="separate"/>
      </w:r>
      <w:r w:rsidR="00E34930" w:rsidRPr="0027079D">
        <w:rPr>
          <w:rStyle w:val="Hyperlink"/>
        </w:rPr>
        <w:t xml:space="preserve">Reporting and Managing </w:t>
      </w:r>
      <w:r w:rsidR="00EA5EB6" w:rsidRPr="0027079D">
        <w:rPr>
          <w:rStyle w:val="Hyperlink"/>
        </w:rPr>
        <w:t xml:space="preserve">School </w:t>
      </w:r>
      <w:r w:rsidR="00E34930" w:rsidRPr="0027079D">
        <w:rPr>
          <w:rStyle w:val="Hyperlink"/>
        </w:rPr>
        <w:t xml:space="preserve">Incidents </w:t>
      </w:r>
      <w:r w:rsidRPr="0027079D">
        <w:rPr>
          <w:rStyle w:val="Hyperlink"/>
        </w:rPr>
        <w:t>(including emergencies) P</w:t>
      </w:r>
      <w:r w:rsidR="00E34930" w:rsidRPr="0027079D">
        <w:rPr>
          <w:rStyle w:val="Hyperlink"/>
        </w:rPr>
        <w:t>olicy</w:t>
      </w:r>
    </w:p>
    <w:p w14:paraId="2FDAF4F6" w14:textId="7D131D7C" w:rsidR="00E34930" w:rsidRPr="002F58F6" w:rsidRDefault="0027079D" w:rsidP="002F58F6">
      <w:pPr>
        <w:pStyle w:val="ListBullet"/>
        <w:numPr>
          <w:ilvl w:val="0"/>
          <w:numId w:val="6"/>
        </w:numPr>
        <w:rPr>
          <w:rStyle w:val="Hyperlink"/>
        </w:rPr>
      </w:pPr>
      <w:r w:rsidRPr="002F58F6">
        <w:rPr>
          <w:rStyle w:val="Hyperlink"/>
        </w:rPr>
        <w:fldChar w:fldCharType="end"/>
      </w:r>
      <w:hyperlink r:id="rId17" w:history="1">
        <w:r w:rsidR="00C87816" w:rsidRPr="005D14EA">
          <w:rPr>
            <w:rStyle w:val="Hyperlink"/>
          </w:rPr>
          <w:t>Privacy and I</w:t>
        </w:r>
        <w:r w:rsidR="00E34930" w:rsidRPr="005D14EA">
          <w:rPr>
            <w:rStyle w:val="Hyperlink"/>
          </w:rPr>
          <w:t xml:space="preserve">nformation </w:t>
        </w:r>
        <w:r w:rsidR="00C87816" w:rsidRPr="005D14EA">
          <w:rPr>
            <w:rStyle w:val="Hyperlink"/>
          </w:rPr>
          <w:t xml:space="preserve">Sharing </w:t>
        </w:r>
        <w:r w:rsidR="00E34930" w:rsidRPr="005D14EA">
          <w:rPr>
            <w:rStyle w:val="Hyperlink"/>
          </w:rPr>
          <w:t>Policy</w:t>
        </w:r>
      </w:hyperlink>
      <w:r w:rsidR="00B74FAF" w:rsidRPr="002F58F6">
        <w:rPr>
          <w:rStyle w:val="Hyperlink"/>
        </w:rPr>
        <w:t xml:space="preserve"> </w:t>
      </w:r>
    </w:p>
    <w:p w14:paraId="7DF44194" w14:textId="504FF661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18" w:history="1">
        <w:r w:rsidR="00E34930" w:rsidRPr="005356DE">
          <w:rPr>
            <w:rStyle w:val="Hyperlink"/>
          </w:rPr>
          <w:t>DET Privacy Policy</w:t>
        </w:r>
      </w:hyperlink>
    </w:p>
    <w:p w14:paraId="1E84BE28" w14:textId="0611046C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19" w:history="1">
        <w:r w:rsidR="00E34930" w:rsidRPr="00ED1769">
          <w:rPr>
            <w:rStyle w:val="Hyperlink"/>
          </w:rPr>
          <w:t>ISP Provider-initiated Cancellation Policy</w:t>
        </w:r>
      </w:hyperlink>
      <w:r w:rsidR="00E34930" w:rsidRPr="005356DE">
        <w:t xml:space="preserve"> </w:t>
      </w:r>
    </w:p>
    <w:p w14:paraId="657FD3E1" w14:textId="7D2D9CDC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20" w:history="1">
        <w:r w:rsidR="00E34930" w:rsidRPr="006A2B67">
          <w:rPr>
            <w:rStyle w:val="Hyperlink"/>
          </w:rPr>
          <w:t>ISP Record Keeping Procedural Guidelines</w:t>
        </w:r>
      </w:hyperlink>
    </w:p>
    <w:p w14:paraId="6D125D9B" w14:textId="77777777" w:rsidR="00E34930" w:rsidRPr="005356DE" w:rsidRDefault="00E34930" w:rsidP="002F58F6">
      <w:pPr>
        <w:pStyle w:val="Heading2"/>
        <w:numPr>
          <w:ilvl w:val="1"/>
          <w:numId w:val="10"/>
        </w:numPr>
      </w:pPr>
      <w:r>
        <w:t>Supporting i</w:t>
      </w:r>
      <w:r w:rsidRPr="005356DE">
        <w:t xml:space="preserve">nformation / </w:t>
      </w:r>
      <w:r>
        <w:t>w</w:t>
      </w:r>
      <w:r w:rsidRPr="005356DE">
        <w:t>ebsites</w:t>
      </w:r>
    </w:p>
    <w:p w14:paraId="749DFAE4" w14:textId="77777777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21" w:anchor="/app/content/2353/support_and_service_(schools)/student_safety_and_support/emergency_and_critical_incidents/reportable_incidents" w:history="1">
        <w:r w:rsidR="00E34930" w:rsidRPr="005356DE">
          <w:rPr>
            <w:rStyle w:val="Hyperlink"/>
          </w:rPr>
          <w:t>A Guide to Managing Incidents in your School</w:t>
        </w:r>
      </w:hyperlink>
      <w:r w:rsidR="00E34930" w:rsidRPr="005356DE">
        <w:t xml:space="preserve"> </w:t>
      </w:r>
    </w:p>
    <w:p w14:paraId="6BAEF922" w14:textId="77777777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22" w:history="1">
        <w:r w:rsidR="00E34930" w:rsidRPr="005356DE">
          <w:rPr>
            <w:rStyle w:val="Hyperlink"/>
          </w:rPr>
          <w:t>Managing Trauma</w:t>
        </w:r>
      </w:hyperlink>
    </w:p>
    <w:p w14:paraId="32987461" w14:textId="77777777" w:rsidR="00E34930" w:rsidRPr="005356DE" w:rsidRDefault="002F58F6" w:rsidP="002F58F6">
      <w:pPr>
        <w:pStyle w:val="ListBullet"/>
        <w:numPr>
          <w:ilvl w:val="0"/>
          <w:numId w:val="6"/>
        </w:numPr>
      </w:pPr>
      <w:hyperlink r:id="rId23" w:history="1">
        <w:r w:rsidR="00E34930" w:rsidRPr="005356DE">
          <w:rPr>
            <w:rStyle w:val="Hyperlink"/>
          </w:rPr>
          <w:t>PROTECT Identifying and Responding to All forms of Abuse in Victorian Schools</w:t>
        </w:r>
      </w:hyperlink>
    </w:p>
    <w:p w14:paraId="3D411161" w14:textId="5BDAA529" w:rsidR="00096B27" w:rsidRDefault="00920011" w:rsidP="00096B27">
      <w:pPr>
        <w:pStyle w:val="Heading2"/>
      </w:pPr>
      <w:r>
        <w:t>D</w:t>
      </w:r>
      <w:r w:rsidR="00096B27">
        <w:t>efinitions</w:t>
      </w:r>
    </w:p>
    <w:p w14:paraId="0E6B7EFE" w14:textId="77777777" w:rsidR="00E34930" w:rsidRDefault="00E34930" w:rsidP="002F58F6">
      <w:pPr>
        <w:pStyle w:val="ListBullet"/>
        <w:numPr>
          <w:ilvl w:val="0"/>
          <w:numId w:val="6"/>
        </w:numPr>
      </w:pPr>
      <w:r w:rsidRPr="002C0D8F">
        <w:rPr>
          <w:b/>
        </w:rPr>
        <w:t xml:space="preserve">Critical incident </w:t>
      </w:r>
      <w:r w:rsidRPr="002C0D8F">
        <w:t>is a traumatic event, or the threat of such (within or outside Australia), which causes extreme stress, fear or injury to an international student.</w:t>
      </w:r>
    </w:p>
    <w:p w14:paraId="24121FBE" w14:textId="77777777" w:rsidR="0089194E" w:rsidRPr="002F05A8" w:rsidRDefault="0089194E" w:rsidP="002F58F6">
      <w:pPr>
        <w:pStyle w:val="ListBullet"/>
        <w:numPr>
          <w:ilvl w:val="0"/>
          <w:numId w:val="6"/>
        </w:numPr>
      </w:pPr>
      <w:r w:rsidRPr="002F05A8">
        <w:rPr>
          <w:b/>
        </w:rPr>
        <w:t>DET (IED)</w:t>
      </w:r>
      <w:r>
        <w:t xml:space="preserve"> is the</w:t>
      </w:r>
      <w:r w:rsidRPr="002F05A8">
        <w:t xml:space="preserve"> Department of Education and Training – International Education Divis</w:t>
      </w:r>
      <w:r>
        <w:t xml:space="preserve">ion. IED is the division in DET </w:t>
      </w:r>
      <w:r w:rsidRPr="002F05A8">
        <w:t>that administers the International Student Program in Victorian government schools. IED is not a separate entity to DET. DET is</w:t>
      </w:r>
      <w:r>
        <w:t xml:space="preserve"> the CRICOS registered provider.</w:t>
      </w:r>
    </w:p>
    <w:p w14:paraId="0AFE1243" w14:textId="77777777" w:rsidR="0089194E" w:rsidRPr="00A52752" w:rsidRDefault="0089194E" w:rsidP="002F58F6">
      <w:pPr>
        <w:pStyle w:val="ListBullet"/>
        <w:numPr>
          <w:ilvl w:val="0"/>
          <w:numId w:val="6"/>
        </w:numPr>
        <w:rPr>
          <w:color w:val="333333"/>
        </w:rPr>
      </w:pPr>
      <w:r>
        <w:rPr>
          <w:b/>
          <w:color w:val="333333"/>
        </w:rPr>
        <w:t>DET (IED)</w:t>
      </w:r>
      <w:r w:rsidRPr="00A52752">
        <w:rPr>
          <w:b/>
          <w:color w:val="333333"/>
        </w:rPr>
        <w:t xml:space="preserve"> staff</w:t>
      </w:r>
      <w:r w:rsidRPr="00A52752">
        <w:rPr>
          <w:color w:val="333333"/>
        </w:rPr>
        <w:t xml:space="preserve"> includes the Executive Officers, managers and employees (full time, part time, ongoing, fixed term, casual and contractor) of DET who work directly or indirectly with the ISP. This excludes </w:t>
      </w:r>
      <w:r>
        <w:rPr>
          <w:color w:val="333333"/>
        </w:rPr>
        <w:t>school staff</w:t>
      </w:r>
      <w:r w:rsidRPr="00A52752">
        <w:rPr>
          <w:color w:val="333333"/>
        </w:rPr>
        <w:t xml:space="preserve">. </w:t>
      </w:r>
    </w:p>
    <w:p w14:paraId="66587917" w14:textId="77777777" w:rsidR="0089194E" w:rsidRPr="00FB7902" w:rsidRDefault="0089194E" w:rsidP="002F58F6">
      <w:pPr>
        <w:pStyle w:val="ListBullet"/>
        <w:numPr>
          <w:ilvl w:val="0"/>
          <w:numId w:val="6"/>
        </w:numPr>
      </w:pPr>
      <w:r w:rsidRPr="007E2369">
        <w:rPr>
          <w:b/>
        </w:rPr>
        <w:t>Homestay</w:t>
      </w:r>
      <w:r w:rsidRPr="00B26CD1">
        <w:rPr>
          <w:b/>
        </w:rPr>
        <w:t>s</w:t>
      </w:r>
      <w:r>
        <w:t xml:space="preserve"> are international student accommodation arranged by schools where DET (IED) is responsible for the welfare of the student at all times, including outside school hours.</w:t>
      </w:r>
    </w:p>
    <w:p w14:paraId="10EC3DA8" w14:textId="5966CCD0" w:rsidR="00FA4664" w:rsidRPr="00A52752" w:rsidRDefault="00FA4664" w:rsidP="002F58F6">
      <w:pPr>
        <w:pStyle w:val="ListBullet"/>
        <w:numPr>
          <w:ilvl w:val="0"/>
          <w:numId w:val="6"/>
        </w:numPr>
        <w:rPr>
          <w:color w:val="333333"/>
        </w:rPr>
      </w:pPr>
      <w:r w:rsidRPr="00A52752">
        <w:rPr>
          <w:b/>
          <w:color w:val="333333"/>
        </w:rPr>
        <w:t>International students</w:t>
      </w:r>
      <w:r w:rsidR="00356EA0">
        <w:rPr>
          <w:b/>
          <w:color w:val="333333"/>
        </w:rPr>
        <w:t xml:space="preserve"> (students)</w:t>
      </w:r>
      <w:r w:rsidRPr="00A52752">
        <w:rPr>
          <w:color w:val="333333"/>
        </w:rPr>
        <w:t xml:space="preserve"> for the purpose of this </w:t>
      </w:r>
      <w:r w:rsidR="00356EA0">
        <w:rPr>
          <w:color w:val="333333"/>
        </w:rPr>
        <w:t>checklist</w:t>
      </w:r>
      <w:r w:rsidR="00356EA0" w:rsidRPr="00A52752">
        <w:rPr>
          <w:color w:val="333333"/>
        </w:rPr>
        <w:t xml:space="preserve"> </w:t>
      </w:r>
      <w:r w:rsidRPr="00A52752">
        <w:rPr>
          <w:color w:val="333333"/>
        </w:rPr>
        <w:t xml:space="preserve">are defined as students participating in the ISP under a </w:t>
      </w:r>
      <w:r w:rsidRPr="00A52752">
        <w:rPr>
          <w:i/>
          <w:color w:val="333333"/>
        </w:rPr>
        <w:t>subclass 500 Student – Schools visa</w:t>
      </w:r>
      <w:r w:rsidRPr="00A52752">
        <w:rPr>
          <w:color w:val="333333"/>
        </w:rPr>
        <w:t xml:space="preserve">. </w:t>
      </w:r>
    </w:p>
    <w:p w14:paraId="52060B9B" w14:textId="4B1272A2" w:rsidR="00FA4664" w:rsidRPr="00A52752" w:rsidRDefault="00FA4664" w:rsidP="002F58F6">
      <w:pPr>
        <w:pStyle w:val="ListBullet"/>
        <w:numPr>
          <w:ilvl w:val="0"/>
          <w:numId w:val="6"/>
        </w:numPr>
        <w:rPr>
          <w:color w:val="333333"/>
        </w:rPr>
      </w:pPr>
      <w:r w:rsidRPr="00A52752">
        <w:rPr>
          <w:b/>
          <w:color w:val="333333"/>
        </w:rPr>
        <w:t>International Student Program (ISP)</w:t>
      </w:r>
      <w:r w:rsidRPr="00A52752">
        <w:rPr>
          <w:color w:val="333333"/>
        </w:rPr>
        <w:t xml:space="preserve"> for the purpose of this </w:t>
      </w:r>
      <w:r w:rsidR="00BF2B4F">
        <w:rPr>
          <w:color w:val="333333"/>
        </w:rPr>
        <w:t xml:space="preserve">document </w:t>
      </w:r>
      <w:r w:rsidRPr="00A52752">
        <w:rPr>
          <w:color w:val="333333"/>
        </w:rPr>
        <w:t xml:space="preserve">is defined as DET’s ISP administered by the DET International Education Division (IED). </w:t>
      </w:r>
    </w:p>
    <w:p w14:paraId="19627F93" w14:textId="77777777" w:rsidR="00356EA0" w:rsidRPr="00281D89" w:rsidRDefault="00356EA0" w:rsidP="002F58F6">
      <w:pPr>
        <w:pStyle w:val="ListBullet"/>
        <w:numPr>
          <w:ilvl w:val="0"/>
          <w:numId w:val="6"/>
        </w:numPr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t.</w:t>
      </w:r>
    </w:p>
    <w:p w14:paraId="5FECEE29" w14:textId="6B788253" w:rsidR="00FA4664" w:rsidRPr="00A52752" w:rsidRDefault="00FA4664" w:rsidP="002F58F6">
      <w:pPr>
        <w:pStyle w:val="ListBullet"/>
        <w:numPr>
          <w:ilvl w:val="0"/>
          <w:numId w:val="6"/>
        </w:numPr>
        <w:rPr>
          <w:color w:val="333333"/>
        </w:rPr>
      </w:pPr>
      <w:r w:rsidRPr="00A52752">
        <w:rPr>
          <w:b/>
          <w:color w:val="333333"/>
        </w:rPr>
        <w:t>School staff</w:t>
      </w:r>
      <w:r w:rsidRPr="00A52752">
        <w:rPr>
          <w:color w:val="333333"/>
        </w:rPr>
        <w:t xml:space="preserve"> are employees of schools, for example – </w:t>
      </w:r>
      <w:r w:rsidR="007F53D9">
        <w:rPr>
          <w:color w:val="333333"/>
        </w:rPr>
        <w:t>i</w:t>
      </w:r>
      <w:r w:rsidRPr="00A52752">
        <w:rPr>
          <w:color w:val="333333"/>
        </w:rPr>
        <w:t xml:space="preserve">nternational </w:t>
      </w:r>
      <w:r w:rsidR="007F53D9">
        <w:rPr>
          <w:color w:val="333333"/>
        </w:rPr>
        <w:t>s</w:t>
      </w:r>
      <w:r w:rsidRPr="00A52752">
        <w:rPr>
          <w:color w:val="333333"/>
        </w:rPr>
        <w:t xml:space="preserve">tudent </w:t>
      </w:r>
      <w:r w:rsidR="007F53D9">
        <w:rPr>
          <w:color w:val="333333"/>
        </w:rPr>
        <w:t>c</w:t>
      </w:r>
      <w:r w:rsidRPr="00A52752">
        <w:rPr>
          <w:color w:val="333333"/>
        </w:rPr>
        <w:t xml:space="preserve">oordinator, </w:t>
      </w:r>
      <w:r w:rsidR="007F53D9">
        <w:rPr>
          <w:color w:val="333333"/>
        </w:rPr>
        <w:t>h</w:t>
      </w:r>
      <w:r w:rsidRPr="00A52752">
        <w:rPr>
          <w:color w:val="333333"/>
        </w:rPr>
        <w:t xml:space="preserve">omestay </w:t>
      </w:r>
      <w:r w:rsidR="007F53D9">
        <w:rPr>
          <w:color w:val="333333"/>
        </w:rPr>
        <w:t>c</w:t>
      </w:r>
      <w:r w:rsidRPr="00A52752">
        <w:rPr>
          <w:color w:val="333333"/>
        </w:rPr>
        <w:t xml:space="preserve">oordinator, </w:t>
      </w:r>
      <w:r w:rsidR="007F53D9">
        <w:rPr>
          <w:color w:val="333333"/>
        </w:rPr>
        <w:t>h</w:t>
      </w:r>
      <w:r w:rsidRPr="00A52752">
        <w:rPr>
          <w:color w:val="333333"/>
        </w:rPr>
        <w:t xml:space="preserve">ead of </w:t>
      </w:r>
      <w:r w:rsidR="007F53D9">
        <w:rPr>
          <w:color w:val="333333"/>
        </w:rPr>
        <w:t>d</w:t>
      </w:r>
      <w:r w:rsidRPr="00A52752">
        <w:rPr>
          <w:color w:val="333333"/>
        </w:rPr>
        <w:t xml:space="preserve">epartment, </w:t>
      </w:r>
      <w:r w:rsidR="007F53D9">
        <w:rPr>
          <w:color w:val="333333"/>
        </w:rPr>
        <w:t>d</w:t>
      </w:r>
      <w:r w:rsidRPr="00A52752">
        <w:rPr>
          <w:color w:val="333333"/>
        </w:rPr>
        <w:t xml:space="preserve">eputy </w:t>
      </w:r>
      <w:r w:rsidR="007F53D9">
        <w:rPr>
          <w:color w:val="333333"/>
        </w:rPr>
        <w:t>p</w:t>
      </w:r>
      <w:r w:rsidRPr="00A52752">
        <w:rPr>
          <w:color w:val="333333"/>
        </w:rPr>
        <w:t xml:space="preserve">rincipal, and </w:t>
      </w:r>
      <w:r w:rsidR="007F53D9">
        <w:rPr>
          <w:color w:val="333333"/>
        </w:rPr>
        <w:t>p</w:t>
      </w:r>
      <w:r w:rsidRPr="00A52752">
        <w:rPr>
          <w:color w:val="333333"/>
        </w:rPr>
        <w:t>rincipal.</w:t>
      </w:r>
    </w:p>
    <w:p w14:paraId="5AE65343" w14:textId="07A66912" w:rsidR="00FA4664" w:rsidRDefault="00FA4664" w:rsidP="002F58F6">
      <w:pPr>
        <w:pStyle w:val="Heading2"/>
        <w:numPr>
          <w:ilvl w:val="1"/>
          <w:numId w:val="10"/>
        </w:numPr>
      </w:pPr>
      <w:r>
        <w:t>Contact</w:t>
      </w:r>
    </w:p>
    <w:p w14:paraId="51151A50" w14:textId="6C945F38" w:rsidR="00FA4664" w:rsidRPr="00A52752" w:rsidRDefault="00FA4664" w:rsidP="00FA4664">
      <w:pPr>
        <w:pStyle w:val="BodyText"/>
      </w:pPr>
      <w:r w:rsidRPr="00A52752">
        <w:t xml:space="preserve">For further </w:t>
      </w:r>
      <w:r w:rsidR="007F7DD9">
        <w:t>information, please contact ISOC on 1800 126 126</w:t>
      </w:r>
      <w:r w:rsidR="00355413">
        <w:t>.</w:t>
      </w:r>
    </w:p>
    <w:p w14:paraId="319F5B43" w14:textId="77777777" w:rsidR="00FA4664" w:rsidRDefault="00FA4664" w:rsidP="002F58F6">
      <w:pPr>
        <w:pStyle w:val="Heading2"/>
        <w:numPr>
          <w:ilvl w:val="1"/>
          <w:numId w:val="15"/>
        </w:numPr>
      </w:pPr>
      <w:r>
        <w:t>Maintenance officer</w:t>
      </w:r>
    </w:p>
    <w:p w14:paraId="497CD7E8" w14:textId="3C90FE0C" w:rsidR="00FA4664" w:rsidRPr="00A52752" w:rsidRDefault="00AD2F80" w:rsidP="00FA4664">
      <w:pPr>
        <w:pStyle w:val="TableText"/>
        <w:rPr>
          <w:szCs w:val="18"/>
        </w:rPr>
      </w:pPr>
      <w:r>
        <w:rPr>
          <w:szCs w:val="18"/>
        </w:rPr>
        <w:t>Manager</w:t>
      </w:r>
      <w:r w:rsidR="00FA4664" w:rsidRPr="00A52752">
        <w:rPr>
          <w:szCs w:val="18"/>
        </w:rPr>
        <w:t xml:space="preserve">, </w:t>
      </w:r>
      <w:r>
        <w:rPr>
          <w:szCs w:val="18"/>
        </w:rPr>
        <w:t>School Support Unit</w:t>
      </w:r>
    </w:p>
    <w:p w14:paraId="5573AC75" w14:textId="77777777" w:rsidR="00FA4664" w:rsidRPr="00A52752" w:rsidRDefault="00FA4664" w:rsidP="00FA4664">
      <w:pPr>
        <w:pStyle w:val="TableText"/>
        <w:rPr>
          <w:szCs w:val="18"/>
        </w:rPr>
      </w:pPr>
      <w:r w:rsidRPr="00A52752">
        <w:rPr>
          <w:szCs w:val="18"/>
        </w:rPr>
        <w:t>International Education Division</w:t>
      </w:r>
    </w:p>
    <w:p w14:paraId="51ABE1CA" w14:textId="79A8825A" w:rsidR="00FA4664" w:rsidRPr="00A52752" w:rsidRDefault="00FA4664" w:rsidP="00FA4664">
      <w:pPr>
        <w:pStyle w:val="TableText"/>
        <w:rPr>
          <w:szCs w:val="18"/>
        </w:rPr>
      </w:pPr>
      <w:r w:rsidRPr="00A52752">
        <w:rPr>
          <w:szCs w:val="18"/>
        </w:rPr>
        <w:t>Department of Education and Training</w:t>
      </w:r>
    </w:p>
    <w:p w14:paraId="4A01E1B1" w14:textId="77777777" w:rsidR="00FA4664" w:rsidRPr="00A52752" w:rsidRDefault="00FA4664" w:rsidP="00FA4664">
      <w:pPr>
        <w:pStyle w:val="TableText"/>
        <w:rPr>
          <w:szCs w:val="18"/>
        </w:rPr>
      </w:pPr>
      <w:r w:rsidRPr="00A52752">
        <w:rPr>
          <w:szCs w:val="18"/>
        </w:rPr>
        <w:t>2 Treasury Place, East Melbourne, Victoria 3002</w:t>
      </w:r>
    </w:p>
    <w:p w14:paraId="453C1EF0" w14:textId="6B56FA26" w:rsidR="00FA4664" w:rsidRPr="00A52752" w:rsidRDefault="00FA4664" w:rsidP="00FA4664">
      <w:pPr>
        <w:pStyle w:val="TableText"/>
        <w:rPr>
          <w:szCs w:val="18"/>
        </w:rPr>
      </w:pPr>
      <w:r w:rsidRPr="00A52752">
        <w:rPr>
          <w:szCs w:val="18"/>
        </w:rPr>
        <w:t xml:space="preserve">Email: </w:t>
      </w:r>
      <w:hyperlink r:id="rId24" w:history="1">
        <w:r w:rsidR="00861F79" w:rsidRPr="0024584B">
          <w:rPr>
            <w:rStyle w:val="Hyperlink"/>
            <w:szCs w:val="18"/>
          </w:rPr>
          <w:t>international@education.vic.gov.au</w:t>
        </w:r>
      </w:hyperlink>
      <w:r w:rsidR="00861F79">
        <w:rPr>
          <w:szCs w:val="18"/>
        </w:rPr>
        <w:t xml:space="preserve"> </w:t>
      </w:r>
    </w:p>
    <w:p w14:paraId="2E7BBCA6" w14:textId="77777777" w:rsidR="00FA4664" w:rsidRPr="00A52752" w:rsidRDefault="00FA4664" w:rsidP="00FA4664">
      <w:pPr>
        <w:pStyle w:val="TableText"/>
      </w:pPr>
      <w:r w:rsidRPr="00A52752">
        <w:rPr>
          <w:szCs w:val="18"/>
        </w:rPr>
        <w:t xml:space="preserve">Phone: +61 3 7022 1000 </w:t>
      </w:r>
      <w:r w:rsidRPr="00A52752">
        <w:t> </w:t>
      </w:r>
    </w:p>
    <w:p w14:paraId="14390AC2" w14:textId="77777777" w:rsidR="00EE2E05" w:rsidRDefault="00EE2E05" w:rsidP="002F58F6">
      <w:pPr>
        <w:pStyle w:val="Heading2"/>
        <w:numPr>
          <w:ilvl w:val="1"/>
          <w:numId w:val="10"/>
        </w:numPr>
        <w:shd w:val="clear" w:color="auto" w:fill="F2F2F2" w:themeFill="background1" w:themeFillShade="F2"/>
      </w:pPr>
      <w:r>
        <w:t>Authorised</w:t>
      </w:r>
    </w:p>
    <w:p w14:paraId="6B5E78A9" w14:textId="4B3A4B4F" w:rsidR="00EE2E05" w:rsidRDefault="00EE2E05" w:rsidP="00EE2E05">
      <w:pPr>
        <w:pStyle w:val="Authorisationtext"/>
      </w:pPr>
    </w:p>
    <w:p w14:paraId="2247D07A" w14:textId="497C9002" w:rsidR="00EE2E05" w:rsidRPr="00AD2439" w:rsidRDefault="00AD2F80" w:rsidP="00EE2E05">
      <w:pPr>
        <w:pStyle w:val="Authorisationtext"/>
      </w:pPr>
      <w:r>
        <w:t>Kur</w:t>
      </w:r>
      <w:r w:rsidR="00634A20">
        <w:t>t</w:t>
      </w:r>
      <w:r>
        <w:t>is Mullane</w:t>
      </w:r>
    </w:p>
    <w:p w14:paraId="38158D25" w14:textId="66E292D0" w:rsidR="00EE2E05" w:rsidRPr="00AD2439" w:rsidRDefault="00AD2F80" w:rsidP="00EE2E05">
      <w:pPr>
        <w:pStyle w:val="Authorisationtext"/>
      </w:pPr>
      <w:r>
        <w:t xml:space="preserve">Acting </w:t>
      </w:r>
      <w:r w:rsidR="00EE2E05" w:rsidRPr="00AD2439">
        <w:t>Executive Director, International Education Division</w:t>
      </w:r>
    </w:p>
    <w:p w14:paraId="2DD4A074" w14:textId="77777777" w:rsidR="00EE2E05" w:rsidRDefault="00EE2E05" w:rsidP="00EE2E05">
      <w:pPr>
        <w:pStyle w:val="Authorisationtext"/>
      </w:pPr>
    </w:p>
    <w:p w14:paraId="511C5E14" w14:textId="77777777" w:rsidR="00EE2E05" w:rsidRPr="00AD2439" w:rsidRDefault="00EE2E05" w:rsidP="00EE2E05">
      <w:pPr>
        <w:pStyle w:val="Authorisationtext"/>
      </w:pPr>
    </w:p>
    <w:p w14:paraId="4851FA3C" w14:textId="1F242A6E" w:rsidR="00EE2E05" w:rsidRPr="00C52000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Date of authorisation</w:t>
      </w:r>
      <w:r w:rsidRPr="00AD2439">
        <w:t>:</w:t>
      </w:r>
      <w:r w:rsidRPr="00AD2439">
        <w:tab/>
      </w:r>
      <w:r w:rsidR="00357F32" w:rsidRPr="00357F32">
        <w:t>1</w:t>
      </w:r>
      <w:r w:rsidR="00634A20">
        <w:t>4</w:t>
      </w:r>
      <w:r w:rsidR="0012402C" w:rsidRPr="00357F32">
        <w:t>/</w:t>
      </w:r>
      <w:r w:rsidR="00357F32">
        <w:t>07</w:t>
      </w:r>
      <w:r w:rsidRPr="00C52000">
        <w:t>/20</w:t>
      </w:r>
      <w:r w:rsidR="00357F32">
        <w:t>21</w:t>
      </w:r>
    </w:p>
    <w:p w14:paraId="0BF9A8E4" w14:textId="55F9B90D" w:rsidR="00EE2E05" w:rsidRPr="00AD2439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</w:t>
      </w:r>
      <w:r>
        <w:t xml:space="preserve">procedure </w:t>
      </w:r>
      <w:r w:rsidRPr="00AD2439">
        <w:t xml:space="preserve">will be reviewed at minimum </w:t>
      </w:r>
      <w:r w:rsidR="00AD2F80">
        <w:t xml:space="preserve">every two years </w:t>
      </w:r>
      <w:r w:rsidRPr="00AD2439">
        <w:t xml:space="preserve">or when any changes arise impacting its currency, </w:t>
      </w:r>
      <w:r>
        <w:tab/>
      </w:r>
      <w:r w:rsidRPr="00AD2439">
        <w:t>including legislative or regulation change.</w:t>
      </w:r>
    </w:p>
    <w:bookmarkEnd w:id="0"/>
    <w:bookmarkEnd w:id="1"/>
    <w:p w14:paraId="65FFF83B" w14:textId="13826A24" w:rsidR="00D9063F" w:rsidRPr="00EB211E" w:rsidRDefault="00D9063F" w:rsidP="00EB211E">
      <w:pPr>
        <w:spacing w:after="0" w:line="240" w:lineRule="auto"/>
        <w:rPr>
          <w:szCs w:val="18"/>
        </w:rPr>
      </w:pPr>
    </w:p>
    <w:sectPr w:rsidR="00D9063F" w:rsidRPr="00EB211E" w:rsidSect="00394CF6">
      <w:footerReference w:type="default" r:id="rId25"/>
      <w:headerReference w:type="first" r:id="rId26"/>
      <w:footerReference w:type="first" r:id="rId27"/>
      <w:type w:val="continuous"/>
      <w:pgSz w:w="11900" w:h="16840" w:code="9"/>
      <w:pgMar w:top="720" w:right="720" w:bottom="720" w:left="720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354E" w14:textId="77777777" w:rsidR="00F258C1" w:rsidRDefault="00F258C1">
      <w:pPr>
        <w:spacing w:line="240" w:lineRule="auto"/>
      </w:pPr>
      <w:r>
        <w:separator/>
      </w:r>
    </w:p>
  </w:endnote>
  <w:endnote w:type="continuationSeparator" w:id="0">
    <w:p w14:paraId="035C734D" w14:textId="77777777" w:rsidR="00F258C1" w:rsidRDefault="00F25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EC82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466D33C2" w14:textId="36B32798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7222DB"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BD01D4">
      <w:rPr>
        <w:noProof/>
      </w:rPr>
      <w:t>4</w:t>
    </w:r>
    <w:r w:rsidRPr="00437D5A">
      <w:fldChar w:fldCharType="end"/>
    </w:r>
    <w:r w:rsidRPr="00437D5A">
      <w:t xml:space="preserve"> of </w:t>
    </w:r>
    <w:r w:rsidR="002F58F6">
      <w:fldChar w:fldCharType="begin"/>
    </w:r>
    <w:r w:rsidR="002F58F6">
      <w:instrText xml:space="preserve"> NUMPAGES  \* Arabic  \* MERGEFORMAT </w:instrText>
    </w:r>
    <w:r w:rsidR="002F58F6">
      <w:fldChar w:fldCharType="separate"/>
    </w:r>
    <w:r w:rsidR="00BD01D4">
      <w:rPr>
        <w:noProof/>
      </w:rPr>
      <w:t>4</w:t>
    </w:r>
    <w:r w:rsidR="002F58F6">
      <w:rPr>
        <w:noProof/>
      </w:rPr>
      <w:fldChar w:fldCharType="end"/>
    </w:r>
  </w:p>
  <w:p w14:paraId="66676EF8" w14:textId="7ED71348" w:rsidR="00AC0148" w:rsidRPr="00437D5A" w:rsidRDefault="003B4683" w:rsidP="00437D5A">
    <w:pPr>
      <w:pStyle w:val="Footer"/>
      <w:tabs>
        <w:tab w:val="clear" w:pos="10348"/>
        <w:tab w:val="right" w:pos="10460"/>
      </w:tabs>
    </w:pPr>
    <w:r>
      <w:t>Copyright State of Victoria 20</w:t>
    </w:r>
    <w:r w:rsidR="009460B4">
      <w:t>21</w:t>
    </w:r>
    <w:r w:rsidR="009460B4">
      <w:tab/>
    </w:r>
    <w:r w:rsidR="009460B4">
      <w:tab/>
      <w:t xml:space="preserve">Version </w:t>
    </w:r>
    <w:r w:rsidR="00357F32" w:rsidRPr="00B905C4">
      <w:t>2</w:t>
    </w:r>
    <w:r w:rsidR="009460B4" w:rsidRPr="00B905C4">
      <w:t>.</w:t>
    </w:r>
    <w:r w:rsidR="00357F32" w:rsidRPr="00B905C4"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3F6E" w14:textId="77777777" w:rsidR="00394CF6" w:rsidRDefault="00A77BD3" w:rsidP="00437D5A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92032" behindDoc="0" locked="0" layoutInCell="1" allowOverlap="1" wp14:anchorId="0CFD4FB5" wp14:editId="1997C1AA">
          <wp:simplePos x="0" y="0"/>
          <wp:positionH relativeFrom="page">
            <wp:posOffset>0</wp:posOffset>
          </wp:positionH>
          <wp:positionV relativeFrom="paragraph">
            <wp:posOffset>-293812</wp:posOffset>
          </wp:positionV>
          <wp:extent cx="7546569" cy="1263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Footer - upd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85"/>
                  <a:stretch/>
                </pic:blipFill>
                <pic:spPr bwMode="auto">
                  <a:xfrm>
                    <a:off x="0" y="0"/>
                    <a:ext cx="7546569" cy="1263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40A6C" w14:textId="77777777" w:rsidR="00AC0148" w:rsidRPr="00394CF6" w:rsidRDefault="00AC0148" w:rsidP="0043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8964" w14:textId="77777777" w:rsidR="00F258C1" w:rsidRDefault="00F258C1">
      <w:pPr>
        <w:spacing w:line="240" w:lineRule="auto"/>
      </w:pPr>
      <w:r>
        <w:separator/>
      </w:r>
    </w:p>
  </w:footnote>
  <w:footnote w:type="continuationSeparator" w:id="0">
    <w:p w14:paraId="1A4914D3" w14:textId="77777777" w:rsidR="00F258C1" w:rsidRDefault="00F25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E6D0" w14:textId="297A104B" w:rsidR="00AC0148" w:rsidRPr="00B367E9" w:rsidRDefault="001F7FD9" w:rsidP="006E06A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ACFD195" wp14:editId="2D655649">
          <wp:simplePos x="0" y="0"/>
          <wp:positionH relativeFrom="column">
            <wp:posOffset>-457200</wp:posOffset>
          </wp:positionH>
          <wp:positionV relativeFrom="paragraph">
            <wp:posOffset>-177800</wp:posOffset>
          </wp:positionV>
          <wp:extent cx="7708900" cy="1039495"/>
          <wp:effectExtent l="0" t="0" r="635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103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5E33932"/>
    <w:multiLevelType w:val="multilevel"/>
    <w:tmpl w:val="7DF221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DC4314"/>
    <w:multiLevelType w:val="multilevel"/>
    <w:tmpl w:val="2C38BA9C"/>
    <w:numStyleLink w:val="BASTCoPList"/>
  </w:abstractNum>
  <w:abstractNum w:abstractNumId="10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A9F5262"/>
    <w:multiLevelType w:val="multilevel"/>
    <w:tmpl w:val="65388B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0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7D39409A"/>
    <w:multiLevelType w:val="multilevel"/>
    <w:tmpl w:val="AC70F576"/>
    <w:numStyleLink w:val="BulletLis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1D0"/>
    <w:rsid w:val="000064B9"/>
    <w:rsid w:val="0001120B"/>
    <w:rsid w:val="00012907"/>
    <w:rsid w:val="00015E89"/>
    <w:rsid w:val="00020E06"/>
    <w:rsid w:val="00027634"/>
    <w:rsid w:val="00043360"/>
    <w:rsid w:val="00063947"/>
    <w:rsid w:val="0006740D"/>
    <w:rsid w:val="00072E91"/>
    <w:rsid w:val="0007427E"/>
    <w:rsid w:val="000743C6"/>
    <w:rsid w:val="00096B27"/>
    <w:rsid w:val="000A2EC0"/>
    <w:rsid w:val="000A703A"/>
    <w:rsid w:val="000A72A8"/>
    <w:rsid w:val="000B260B"/>
    <w:rsid w:val="000B2837"/>
    <w:rsid w:val="000C2E7D"/>
    <w:rsid w:val="000D10CA"/>
    <w:rsid w:val="000D485E"/>
    <w:rsid w:val="000D50FB"/>
    <w:rsid w:val="000E6AB2"/>
    <w:rsid w:val="00106DF5"/>
    <w:rsid w:val="00107664"/>
    <w:rsid w:val="00120EFB"/>
    <w:rsid w:val="0012402C"/>
    <w:rsid w:val="001251B9"/>
    <w:rsid w:val="0012684A"/>
    <w:rsid w:val="00137833"/>
    <w:rsid w:val="00141535"/>
    <w:rsid w:val="00144386"/>
    <w:rsid w:val="0014588F"/>
    <w:rsid w:val="00160255"/>
    <w:rsid w:val="001A53D7"/>
    <w:rsid w:val="001B7887"/>
    <w:rsid w:val="001E0A88"/>
    <w:rsid w:val="001F6E93"/>
    <w:rsid w:val="001F7FD9"/>
    <w:rsid w:val="0020201E"/>
    <w:rsid w:val="00203E4B"/>
    <w:rsid w:val="0020669E"/>
    <w:rsid w:val="00216FCC"/>
    <w:rsid w:val="00222B2A"/>
    <w:rsid w:val="002271C7"/>
    <w:rsid w:val="00235F96"/>
    <w:rsid w:val="00240A96"/>
    <w:rsid w:val="00242C03"/>
    <w:rsid w:val="00246766"/>
    <w:rsid w:val="00247B05"/>
    <w:rsid w:val="00266BAE"/>
    <w:rsid w:val="0027079D"/>
    <w:rsid w:val="00285606"/>
    <w:rsid w:val="002862DE"/>
    <w:rsid w:val="002869FA"/>
    <w:rsid w:val="002878AA"/>
    <w:rsid w:val="002933DC"/>
    <w:rsid w:val="002952DE"/>
    <w:rsid w:val="002A0A8F"/>
    <w:rsid w:val="002A3D1F"/>
    <w:rsid w:val="002A4120"/>
    <w:rsid w:val="002B4AD1"/>
    <w:rsid w:val="002B59C6"/>
    <w:rsid w:val="002C1985"/>
    <w:rsid w:val="002C3A57"/>
    <w:rsid w:val="002C3C1B"/>
    <w:rsid w:val="002D2ED8"/>
    <w:rsid w:val="002D3B26"/>
    <w:rsid w:val="002F58F6"/>
    <w:rsid w:val="003202B2"/>
    <w:rsid w:val="00324D7E"/>
    <w:rsid w:val="003377B0"/>
    <w:rsid w:val="00351A0A"/>
    <w:rsid w:val="00355413"/>
    <w:rsid w:val="00356EA0"/>
    <w:rsid w:val="00357F32"/>
    <w:rsid w:val="00394CF6"/>
    <w:rsid w:val="003A794C"/>
    <w:rsid w:val="003B4683"/>
    <w:rsid w:val="003B6520"/>
    <w:rsid w:val="003C54CB"/>
    <w:rsid w:val="003D1F46"/>
    <w:rsid w:val="003D7701"/>
    <w:rsid w:val="003F3CDE"/>
    <w:rsid w:val="004059FD"/>
    <w:rsid w:val="004068E7"/>
    <w:rsid w:val="00410C4D"/>
    <w:rsid w:val="004119CC"/>
    <w:rsid w:val="004221BD"/>
    <w:rsid w:val="00424BE4"/>
    <w:rsid w:val="004323F9"/>
    <w:rsid w:val="00436096"/>
    <w:rsid w:val="00437D5A"/>
    <w:rsid w:val="00445EF5"/>
    <w:rsid w:val="00450A3A"/>
    <w:rsid w:val="00457DF2"/>
    <w:rsid w:val="004633DE"/>
    <w:rsid w:val="004766D4"/>
    <w:rsid w:val="004875F6"/>
    <w:rsid w:val="00487E5A"/>
    <w:rsid w:val="00494657"/>
    <w:rsid w:val="004A01DC"/>
    <w:rsid w:val="004B0E7A"/>
    <w:rsid w:val="004B4062"/>
    <w:rsid w:val="004C27D6"/>
    <w:rsid w:val="004C373C"/>
    <w:rsid w:val="004D488E"/>
    <w:rsid w:val="004D7763"/>
    <w:rsid w:val="004E409F"/>
    <w:rsid w:val="004E5B7A"/>
    <w:rsid w:val="004F548B"/>
    <w:rsid w:val="004F5E8F"/>
    <w:rsid w:val="004F747C"/>
    <w:rsid w:val="004F77FB"/>
    <w:rsid w:val="00521738"/>
    <w:rsid w:val="005220CD"/>
    <w:rsid w:val="00524E62"/>
    <w:rsid w:val="00532CD2"/>
    <w:rsid w:val="00534D96"/>
    <w:rsid w:val="00543CAA"/>
    <w:rsid w:val="005566E9"/>
    <w:rsid w:val="0056185C"/>
    <w:rsid w:val="00573234"/>
    <w:rsid w:val="00577DE8"/>
    <w:rsid w:val="0058165A"/>
    <w:rsid w:val="00581812"/>
    <w:rsid w:val="0058380F"/>
    <w:rsid w:val="00585886"/>
    <w:rsid w:val="0059509E"/>
    <w:rsid w:val="00596941"/>
    <w:rsid w:val="005A2810"/>
    <w:rsid w:val="005A2DBD"/>
    <w:rsid w:val="005A51E0"/>
    <w:rsid w:val="005A58BF"/>
    <w:rsid w:val="005B5E1A"/>
    <w:rsid w:val="005D14EA"/>
    <w:rsid w:val="005D4104"/>
    <w:rsid w:val="005E23FA"/>
    <w:rsid w:val="00601E3A"/>
    <w:rsid w:val="00601E4A"/>
    <w:rsid w:val="00613644"/>
    <w:rsid w:val="00630F76"/>
    <w:rsid w:val="00632D04"/>
    <w:rsid w:val="00634A20"/>
    <w:rsid w:val="00651662"/>
    <w:rsid w:val="00661AF8"/>
    <w:rsid w:val="00673271"/>
    <w:rsid w:val="006837C6"/>
    <w:rsid w:val="006917FD"/>
    <w:rsid w:val="00693267"/>
    <w:rsid w:val="00696162"/>
    <w:rsid w:val="006A2B67"/>
    <w:rsid w:val="006A3271"/>
    <w:rsid w:val="006A6239"/>
    <w:rsid w:val="006A7413"/>
    <w:rsid w:val="006A74C8"/>
    <w:rsid w:val="006C1D99"/>
    <w:rsid w:val="006E06A7"/>
    <w:rsid w:val="006F7286"/>
    <w:rsid w:val="00714724"/>
    <w:rsid w:val="007176D9"/>
    <w:rsid w:val="007222DB"/>
    <w:rsid w:val="00736043"/>
    <w:rsid w:val="00741521"/>
    <w:rsid w:val="007479AC"/>
    <w:rsid w:val="007556E5"/>
    <w:rsid w:val="00784077"/>
    <w:rsid w:val="00785033"/>
    <w:rsid w:val="00785381"/>
    <w:rsid w:val="00796555"/>
    <w:rsid w:val="007A7745"/>
    <w:rsid w:val="007C2448"/>
    <w:rsid w:val="007D2EC9"/>
    <w:rsid w:val="007D3BCE"/>
    <w:rsid w:val="007D6104"/>
    <w:rsid w:val="007E5D46"/>
    <w:rsid w:val="007E5F88"/>
    <w:rsid w:val="007E70B3"/>
    <w:rsid w:val="007F35FF"/>
    <w:rsid w:val="007F53D9"/>
    <w:rsid w:val="007F64A5"/>
    <w:rsid w:val="007F7DD9"/>
    <w:rsid w:val="00803AA9"/>
    <w:rsid w:val="008067B6"/>
    <w:rsid w:val="008119A7"/>
    <w:rsid w:val="008167E3"/>
    <w:rsid w:val="00821B3F"/>
    <w:rsid w:val="00824774"/>
    <w:rsid w:val="00826044"/>
    <w:rsid w:val="00835CA4"/>
    <w:rsid w:val="0084610B"/>
    <w:rsid w:val="00850798"/>
    <w:rsid w:val="00851C86"/>
    <w:rsid w:val="00861F79"/>
    <w:rsid w:val="00862CAC"/>
    <w:rsid w:val="00874173"/>
    <w:rsid w:val="00876A89"/>
    <w:rsid w:val="0089194E"/>
    <w:rsid w:val="00894D36"/>
    <w:rsid w:val="00895ED0"/>
    <w:rsid w:val="008B1CC6"/>
    <w:rsid w:val="008D19D9"/>
    <w:rsid w:val="00900B38"/>
    <w:rsid w:val="009032B6"/>
    <w:rsid w:val="00903707"/>
    <w:rsid w:val="00906A8B"/>
    <w:rsid w:val="0091104F"/>
    <w:rsid w:val="00913390"/>
    <w:rsid w:val="00920011"/>
    <w:rsid w:val="00920876"/>
    <w:rsid w:val="0092105A"/>
    <w:rsid w:val="00923E06"/>
    <w:rsid w:val="00926502"/>
    <w:rsid w:val="00934787"/>
    <w:rsid w:val="00942131"/>
    <w:rsid w:val="009460B4"/>
    <w:rsid w:val="00950232"/>
    <w:rsid w:val="00951C39"/>
    <w:rsid w:val="0097557C"/>
    <w:rsid w:val="009B7ACE"/>
    <w:rsid w:val="009E4AE6"/>
    <w:rsid w:val="009E59E5"/>
    <w:rsid w:val="009E6A09"/>
    <w:rsid w:val="009E6F19"/>
    <w:rsid w:val="009F55DD"/>
    <w:rsid w:val="00A05549"/>
    <w:rsid w:val="00A17B46"/>
    <w:rsid w:val="00A41D10"/>
    <w:rsid w:val="00A62904"/>
    <w:rsid w:val="00A67FAE"/>
    <w:rsid w:val="00A77BD3"/>
    <w:rsid w:val="00A849A5"/>
    <w:rsid w:val="00A908EC"/>
    <w:rsid w:val="00AA211D"/>
    <w:rsid w:val="00AA7FE1"/>
    <w:rsid w:val="00AB65DD"/>
    <w:rsid w:val="00AC0148"/>
    <w:rsid w:val="00AC6A30"/>
    <w:rsid w:val="00AC7260"/>
    <w:rsid w:val="00AD1E77"/>
    <w:rsid w:val="00AD2F80"/>
    <w:rsid w:val="00AD3566"/>
    <w:rsid w:val="00AD4E7B"/>
    <w:rsid w:val="00AE3DB4"/>
    <w:rsid w:val="00AE7D41"/>
    <w:rsid w:val="00AF613B"/>
    <w:rsid w:val="00AF7EE7"/>
    <w:rsid w:val="00B11A6E"/>
    <w:rsid w:val="00B14040"/>
    <w:rsid w:val="00B15603"/>
    <w:rsid w:val="00B2210B"/>
    <w:rsid w:val="00B25DD5"/>
    <w:rsid w:val="00B32E5D"/>
    <w:rsid w:val="00B367E9"/>
    <w:rsid w:val="00B40B7F"/>
    <w:rsid w:val="00B62558"/>
    <w:rsid w:val="00B662D4"/>
    <w:rsid w:val="00B74FAF"/>
    <w:rsid w:val="00B84E35"/>
    <w:rsid w:val="00B855B7"/>
    <w:rsid w:val="00B905C4"/>
    <w:rsid w:val="00B95489"/>
    <w:rsid w:val="00BB329C"/>
    <w:rsid w:val="00BC2965"/>
    <w:rsid w:val="00BD01D4"/>
    <w:rsid w:val="00BD0E2D"/>
    <w:rsid w:val="00BD3DC3"/>
    <w:rsid w:val="00BE4807"/>
    <w:rsid w:val="00BF2B4F"/>
    <w:rsid w:val="00C003B6"/>
    <w:rsid w:val="00C00FE4"/>
    <w:rsid w:val="00C52000"/>
    <w:rsid w:val="00C76DEA"/>
    <w:rsid w:val="00C80ACA"/>
    <w:rsid w:val="00C8604B"/>
    <w:rsid w:val="00C87816"/>
    <w:rsid w:val="00C90F28"/>
    <w:rsid w:val="00CA4D0A"/>
    <w:rsid w:val="00CA7FEC"/>
    <w:rsid w:val="00CB18BC"/>
    <w:rsid w:val="00CC126E"/>
    <w:rsid w:val="00CE5190"/>
    <w:rsid w:val="00D00425"/>
    <w:rsid w:val="00D01D2A"/>
    <w:rsid w:val="00D053E8"/>
    <w:rsid w:val="00D237FD"/>
    <w:rsid w:val="00D43386"/>
    <w:rsid w:val="00D45DD8"/>
    <w:rsid w:val="00D607B7"/>
    <w:rsid w:val="00D618B2"/>
    <w:rsid w:val="00D656F8"/>
    <w:rsid w:val="00D67213"/>
    <w:rsid w:val="00D706BD"/>
    <w:rsid w:val="00D7190D"/>
    <w:rsid w:val="00D723FB"/>
    <w:rsid w:val="00D9063F"/>
    <w:rsid w:val="00D9264C"/>
    <w:rsid w:val="00D93562"/>
    <w:rsid w:val="00DB0094"/>
    <w:rsid w:val="00DB61AB"/>
    <w:rsid w:val="00DC06AF"/>
    <w:rsid w:val="00DD026C"/>
    <w:rsid w:val="00DD0D92"/>
    <w:rsid w:val="00DD55BE"/>
    <w:rsid w:val="00DE6640"/>
    <w:rsid w:val="00DF49BF"/>
    <w:rsid w:val="00DF604E"/>
    <w:rsid w:val="00DF61E7"/>
    <w:rsid w:val="00DF6528"/>
    <w:rsid w:val="00E02BF0"/>
    <w:rsid w:val="00E0627C"/>
    <w:rsid w:val="00E21C0A"/>
    <w:rsid w:val="00E2249E"/>
    <w:rsid w:val="00E34930"/>
    <w:rsid w:val="00E457A9"/>
    <w:rsid w:val="00E523D1"/>
    <w:rsid w:val="00E5279E"/>
    <w:rsid w:val="00E55322"/>
    <w:rsid w:val="00E62E89"/>
    <w:rsid w:val="00E70651"/>
    <w:rsid w:val="00E84BFF"/>
    <w:rsid w:val="00E93D38"/>
    <w:rsid w:val="00E940FB"/>
    <w:rsid w:val="00E969A6"/>
    <w:rsid w:val="00EA4710"/>
    <w:rsid w:val="00EA5EB6"/>
    <w:rsid w:val="00EB211E"/>
    <w:rsid w:val="00EB7625"/>
    <w:rsid w:val="00ED1769"/>
    <w:rsid w:val="00ED3F02"/>
    <w:rsid w:val="00EE2E05"/>
    <w:rsid w:val="00EE321A"/>
    <w:rsid w:val="00EE488D"/>
    <w:rsid w:val="00EF131B"/>
    <w:rsid w:val="00EF1523"/>
    <w:rsid w:val="00F065A3"/>
    <w:rsid w:val="00F258C1"/>
    <w:rsid w:val="00F54A89"/>
    <w:rsid w:val="00F625C6"/>
    <w:rsid w:val="00F64C9D"/>
    <w:rsid w:val="00F660B7"/>
    <w:rsid w:val="00F70DE1"/>
    <w:rsid w:val="00F7437B"/>
    <w:rsid w:val="00F74947"/>
    <w:rsid w:val="00F81311"/>
    <w:rsid w:val="00F818DE"/>
    <w:rsid w:val="00F82399"/>
    <w:rsid w:val="00F87324"/>
    <w:rsid w:val="00FA4664"/>
    <w:rsid w:val="00FB560E"/>
    <w:rsid w:val="00FC1EF3"/>
    <w:rsid w:val="00FC41DA"/>
    <w:rsid w:val="00FC7626"/>
    <w:rsid w:val="00FE32E2"/>
    <w:rsid w:val="00FE71DB"/>
    <w:rsid w:val="00FF67A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3B3A88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0B283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1F7FD9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242C03"/>
    <w:pPr>
      <w:keepNext/>
      <w:keepLines/>
      <w:numPr>
        <w:ilvl w:val="1"/>
        <w:numId w:val="11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15E89"/>
    <w:pPr>
      <w:keepNext/>
      <w:keepLines/>
      <w:numPr>
        <w:ilvl w:val="2"/>
        <w:numId w:val="11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4A01DC"/>
    <w:pPr>
      <w:keepNext/>
      <w:keepLines/>
      <w:numPr>
        <w:ilvl w:val="3"/>
        <w:numId w:val="11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1F7FD9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242C03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015E89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4A01DC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1"/>
    <w:qFormat/>
    <w:rsid w:val="004A01DC"/>
    <w:pPr>
      <w:numPr>
        <w:numId w:val="12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4A01DC"/>
    <w:pPr>
      <w:numPr>
        <w:numId w:val="13"/>
      </w:numPr>
      <w:spacing w:before="40" w:after="40" w:line="240" w:lineRule="auto"/>
    </w:pPr>
    <w:rPr>
      <w:color w:val="404040" w:themeColor="text1" w:themeTint="BF"/>
      <w:szCs w:val="18"/>
    </w:rPr>
  </w:style>
  <w:style w:type="paragraph" w:styleId="ListNumber2">
    <w:name w:val="List Number 2"/>
    <w:basedOn w:val="ListNumber"/>
    <w:uiPriority w:val="19"/>
    <w:unhideWhenUsed/>
    <w:qFormat/>
    <w:rsid w:val="00ED3F02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4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33DC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8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9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C00FE4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C00FE4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7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13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6917FD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6917FD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6917FD"/>
    <w:pPr>
      <w:spacing w:before="40" w:after="40" w:line="240" w:lineRule="auto"/>
    </w:pPr>
    <w:rPr>
      <w:b/>
      <w:szCs w:val="18"/>
    </w:rPr>
  </w:style>
  <w:style w:type="paragraph" w:customStyle="1" w:styleId="TableText">
    <w:name w:val="Table Text"/>
    <w:uiPriority w:val="24"/>
    <w:qFormat/>
    <w:rsid w:val="00714724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EE2E05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46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A4664"/>
    <w:pPr>
      <w:ind w:left="720"/>
      <w:contextualSpacing/>
    </w:pPr>
  </w:style>
  <w:style w:type="paragraph" w:customStyle="1" w:styleId="Listbullet20">
    <w:name w:val="List_bullet_2"/>
    <w:basedOn w:val="ListBullet2"/>
    <w:link w:val="Listbullet2Char"/>
    <w:uiPriority w:val="24"/>
    <w:qFormat/>
    <w:rsid w:val="00E34930"/>
    <w:pPr>
      <w:numPr>
        <w:numId w:val="16"/>
      </w:numPr>
    </w:pPr>
  </w:style>
  <w:style w:type="character" w:customStyle="1" w:styleId="Listbullet2Char">
    <w:name w:val="List_bullet_2 Char"/>
    <w:basedOn w:val="DefaultParagraphFont"/>
    <w:link w:val="Listbullet20"/>
    <w:uiPriority w:val="24"/>
    <w:rsid w:val="00E34930"/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625C6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privacy-information-sharing/policy" TargetMode="External"/><Relationship Id="rId18" Type="http://schemas.openxmlformats.org/officeDocument/2006/relationships/hyperlink" Target="https://www.education.vic.gov.au/pages/privacypolicy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gate.eduweb.vic.gov.au/sites/i/pages/production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edugate.eduweb.vic.gov.au/sites/i/_layouts/15/WopiFrame2.aspx?sourcedoc=/sites/i/Shared%20Documents/SIMS%20Policy%20and%20Guidelines%202018.pdf&amp;action=default" TargetMode="External"/><Relationship Id="rId17" Type="http://schemas.openxmlformats.org/officeDocument/2006/relationships/hyperlink" Target="https://www2.education.vic.gov.au/pal/privacy-information-sharing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ites/i/_layouts/15/WopiFrame2.aspx?sourcedoc=/sites/i/Shared%20Documents/SIMS%20Policy%20and%20Guidelines%202018.pdf&amp;action=default" TargetMode="External"/><Relationship Id="rId20" Type="http://schemas.openxmlformats.org/officeDocument/2006/relationships/hyperlink" Target="https://www.study.vic.gov.au/Shared%20Documents/en/School_Toolkit/ISP_Record_Keeping_Procedural_Guideline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ternational@education.vic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interpreting-and-translation-services/guidance/telephone-interpreting-service" TargetMode="External"/><Relationship Id="rId23" Type="http://schemas.openxmlformats.org/officeDocument/2006/relationships/hyperlink" Target="https://www.education.vic.gov.au/school/teachers/health/childprotection/Pages/default.asp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study.vic.gov.au/Shared%20Documents/en/School_Toolkit/ISP_Department_Initiated_Suspension_and_Cancellation_Policy.docx" TargetMode="External"/><Relationship Id="rId27" Type="http://schemas.openxmlformats.org/officeDocument/2006/relationships/footer" Target="footer2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interpreting-and-translation-services/guidance/telephone-interpreting-service" TargetMode="External"/><Relationship Id="rId22" Type="http://schemas.openxmlformats.org/officeDocument/2006/relationships/hyperlink" Target="https://edugate.eduweb.vic.gov.au/sites/i/_layouts/15/WopiFrame.aspx?sourcedoc=/sites/i/Shared%20Documents/Managing%20Trauma.pdf&amp;action=defau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B05E3-5A23-40C4-9A94-346337510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48d741e2-8e2c-417b-b700-80de02d16da7"/>
  </ds:schemaRefs>
</ds:datastoreItem>
</file>

<file path=customXml/itemProps4.xml><?xml version="1.0" encoding="utf-8"?>
<ds:datastoreItem xmlns:ds="http://schemas.openxmlformats.org/officeDocument/2006/customXml" ds:itemID="{77C98BA2-CA2D-403C-B2F5-71C1867406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315391-95B1-4A1B-B38E-BF69C180BE01}"/>
</file>

<file path=docProps/app.xml><?xml version="1.0" encoding="utf-8"?>
<Properties xmlns="http://schemas.openxmlformats.org/officeDocument/2006/extended-properties" xmlns:vt="http://schemas.openxmlformats.org/officeDocument/2006/docPropsVTypes">
  <Template>IED Letterhead</Template>
  <TotalTime>40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Yurovich, Melonie L</dc:creator>
  <cp:lastModifiedBy>Melonie Yurovich</cp:lastModifiedBy>
  <cp:revision>59</cp:revision>
  <cp:lastPrinted>2019-07-21T23:38:00Z</cp:lastPrinted>
  <dcterms:created xsi:type="dcterms:W3CDTF">2021-07-15T09:01:00Z</dcterms:created>
  <dcterms:modified xsi:type="dcterms:W3CDTF">2021-07-16T02:17:00Z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{3938d5ad-387d-4b53-8fca-878f13928644}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R20211715686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2021-07-15T16:46:36.8304096+10:00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