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340FB037" w:rsidR="00EE321A" w:rsidRPr="007B1E88" w:rsidRDefault="008F07BA" w:rsidP="00EE321A">
      <w:pPr>
        <w:rPr>
          <w:sz w:val="28"/>
          <w:szCs w:val="28"/>
        </w:rPr>
      </w:pPr>
      <w:r>
        <w:rPr>
          <w:sz w:val="28"/>
          <w:szCs w:val="28"/>
        </w:rPr>
        <w:t xml:space="preserve"> </w:t>
      </w:r>
    </w:p>
    <w:p w14:paraId="25929550" w14:textId="77777777" w:rsidR="0091104F" w:rsidRDefault="0091104F" w:rsidP="00C00FE4">
      <w:pPr>
        <w:pStyle w:val="BodyText"/>
      </w:pPr>
    </w:p>
    <w:p w14:paraId="146E66A2" w14:textId="77777777" w:rsidR="002862DE" w:rsidRDefault="002862DE" w:rsidP="00D9063F">
      <w:pPr>
        <w:pStyle w:val="BodyText"/>
      </w:pPr>
    </w:p>
    <w:p w14:paraId="555C68CA" w14:textId="44316EF4" w:rsidR="00E12660" w:rsidRPr="00E12660" w:rsidRDefault="00AA0068" w:rsidP="00E12660">
      <w:pPr>
        <w:pStyle w:val="Heading2"/>
      </w:pPr>
      <w:bookmarkStart w:id="0" w:name="_Toc489966473"/>
      <w:bookmarkStart w:id="1" w:name="_Toc489972311"/>
      <w:r>
        <w:rPr>
          <w:rFonts w:ascii="Arial Bold" w:hAnsi="Arial Bold"/>
          <w:color w:val="100249"/>
          <w:sz w:val="32"/>
          <w:szCs w:val="32"/>
        </w:rPr>
        <w:t>ISP I</w:t>
      </w:r>
      <w:r w:rsidR="007D33F9">
        <w:rPr>
          <w:rFonts w:ascii="Arial Bold" w:hAnsi="Arial Bold"/>
          <w:color w:val="100249"/>
          <w:sz w:val="32"/>
          <w:szCs w:val="32"/>
        </w:rPr>
        <w:t xml:space="preserve">ntensive English </w:t>
      </w:r>
      <w:r>
        <w:rPr>
          <w:rFonts w:ascii="Arial Bold" w:hAnsi="Arial Bold"/>
          <w:color w:val="100249"/>
          <w:sz w:val="32"/>
          <w:szCs w:val="32"/>
        </w:rPr>
        <w:t>L</w:t>
      </w:r>
      <w:r w:rsidR="007D33F9">
        <w:rPr>
          <w:rFonts w:ascii="Arial Bold" w:hAnsi="Arial Bold"/>
          <w:color w:val="100249"/>
          <w:sz w:val="32"/>
          <w:szCs w:val="32"/>
        </w:rPr>
        <w:t xml:space="preserve">anguage </w:t>
      </w:r>
      <w:r>
        <w:rPr>
          <w:rFonts w:ascii="Arial Bold" w:hAnsi="Arial Bold"/>
          <w:color w:val="100249"/>
          <w:sz w:val="32"/>
          <w:szCs w:val="32"/>
        </w:rPr>
        <w:t>P</w:t>
      </w:r>
      <w:r w:rsidR="007D33F9">
        <w:rPr>
          <w:rFonts w:ascii="Arial Bold" w:hAnsi="Arial Bold"/>
          <w:color w:val="100249"/>
          <w:sz w:val="32"/>
          <w:szCs w:val="32"/>
        </w:rPr>
        <w:t xml:space="preserve">rogram </w:t>
      </w:r>
      <w:r>
        <w:rPr>
          <w:rFonts w:ascii="Arial Bold" w:hAnsi="Arial Bold"/>
          <w:color w:val="100249"/>
          <w:sz w:val="32"/>
          <w:szCs w:val="32"/>
        </w:rPr>
        <w:t>P</w:t>
      </w:r>
      <w:r w:rsidR="007D33F9">
        <w:rPr>
          <w:rFonts w:ascii="Arial Bold" w:hAnsi="Arial Bold"/>
          <w:color w:val="100249"/>
          <w:sz w:val="32"/>
          <w:szCs w:val="32"/>
        </w:rPr>
        <w:t xml:space="preserve">rovision </w:t>
      </w:r>
      <w:r>
        <w:rPr>
          <w:rFonts w:ascii="Arial Bold" w:hAnsi="Arial Bold"/>
          <w:color w:val="100249"/>
          <w:sz w:val="32"/>
          <w:szCs w:val="32"/>
        </w:rPr>
        <w:t xml:space="preserve">in </w:t>
      </w:r>
      <w:r w:rsidR="00E12660" w:rsidRPr="00E12660">
        <w:rPr>
          <w:rFonts w:ascii="Arial Bold" w:hAnsi="Arial Bold"/>
          <w:color w:val="100249"/>
          <w:sz w:val="32"/>
          <w:szCs w:val="32"/>
        </w:rPr>
        <w:t xml:space="preserve">Victorian </w:t>
      </w:r>
      <w:r w:rsidR="00E12660" w:rsidRPr="00CB70C3">
        <w:rPr>
          <w:rFonts w:ascii="Arial Bold" w:hAnsi="Arial Bold"/>
          <w:color w:val="100249"/>
          <w:sz w:val="32"/>
          <w:szCs w:val="32"/>
        </w:rPr>
        <w:t>Government</w:t>
      </w:r>
      <w:r w:rsidR="00E12660" w:rsidRPr="00E12660">
        <w:rPr>
          <w:rFonts w:ascii="Arial Bold" w:hAnsi="Arial Bold"/>
          <w:color w:val="100249"/>
          <w:sz w:val="32"/>
          <w:szCs w:val="32"/>
        </w:rPr>
        <w:t xml:space="preserve"> English Language Schools</w:t>
      </w:r>
      <w:r w:rsidR="006D54F9">
        <w:rPr>
          <w:rFonts w:ascii="Arial Bold" w:hAnsi="Arial Bold"/>
          <w:color w:val="100249"/>
          <w:sz w:val="32"/>
          <w:szCs w:val="32"/>
        </w:rPr>
        <w:t xml:space="preserve"> and </w:t>
      </w:r>
      <w:r w:rsidR="001E3684">
        <w:rPr>
          <w:rFonts w:ascii="Arial Bold" w:hAnsi="Arial Bold"/>
          <w:color w:val="100249"/>
          <w:sz w:val="32"/>
          <w:szCs w:val="32"/>
        </w:rPr>
        <w:t xml:space="preserve">English Language </w:t>
      </w:r>
      <w:r w:rsidR="006D54F9">
        <w:rPr>
          <w:rFonts w:ascii="Arial Bold" w:hAnsi="Arial Bold"/>
          <w:color w:val="100249"/>
          <w:sz w:val="32"/>
          <w:szCs w:val="32"/>
        </w:rPr>
        <w:t>Centres</w:t>
      </w:r>
      <w:r w:rsidR="00E12660">
        <w:rPr>
          <w:rFonts w:ascii="Arial Bold" w:hAnsi="Arial Bold"/>
          <w:color w:val="100249"/>
          <w:sz w:val="32"/>
          <w:szCs w:val="32"/>
        </w:rPr>
        <w:t xml:space="preserve"> </w:t>
      </w:r>
      <w:r w:rsidR="00FF066D">
        <w:rPr>
          <w:rFonts w:ascii="Arial Bold" w:hAnsi="Arial Bold"/>
          <w:color w:val="100249"/>
          <w:sz w:val="32"/>
          <w:szCs w:val="32"/>
        </w:rPr>
        <w:t>Policy</w:t>
      </w:r>
    </w:p>
    <w:p w14:paraId="1DDC2AF2" w14:textId="45DD4993" w:rsidR="00D9063F" w:rsidRPr="00CB70C3" w:rsidRDefault="00D9063F" w:rsidP="00D9063F">
      <w:pPr>
        <w:pStyle w:val="Heading2"/>
        <w:rPr>
          <w:color w:val="00BAC0"/>
        </w:rPr>
      </w:pPr>
      <w:r w:rsidRPr="00CB70C3">
        <w:rPr>
          <w:color w:val="00BAC0"/>
        </w:rPr>
        <w:t>Purpose</w:t>
      </w:r>
    </w:p>
    <w:p w14:paraId="65AD2DC3" w14:textId="40DBC707" w:rsidR="00453E4F" w:rsidRDefault="00A00D32" w:rsidP="00D9063F">
      <w:pPr>
        <w:pStyle w:val="BodyText"/>
      </w:pPr>
      <w:r>
        <w:t xml:space="preserve">This </w:t>
      </w:r>
      <w:r w:rsidR="00C90AA5">
        <w:t>policy</w:t>
      </w:r>
      <w:r>
        <w:t xml:space="preserve"> outlines requirements</w:t>
      </w:r>
      <w:r w:rsidR="00995C4B">
        <w:t xml:space="preserve"> when international students with a subclass 500 Student – Schools visa </w:t>
      </w:r>
      <w:r w:rsidR="001E6D14">
        <w:t xml:space="preserve">(standard and study abroad students) </w:t>
      </w:r>
      <w:r w:rsidR="00995C4B">
        <w:t>attend</w:t>
      </w:r>
      <w:r w:rsidR="00620C90">
        <w:t xml:space="preserve"> an </w:t>
      </w:r>
      <w:r w:rsidR="008019C2">
        <w:t>i</w:t>
      </w:r>
      <w:r w:rsidR="00620C90">
        <w:t xml:space="preserve">ntensive English </w:t>
      </w:r>
      <w:r w:rsidR="008019C2">
        <w:t>l</w:t>
      </w:r>
      <w:r w:rsidR="00620C90">
        <w:t xml:space="preserve">anguage </w:t>
      </w:r>
      <w:r w:rsidR="008019C2">
        <w:t>p</w:t>
      </w:r>
      <w:r w:rsidR="00620C90">
        <w:t xml:space="preserve">rogram (IELP) at </w:t>
      </w:r>
      <w:r w:rsidR="001E3684">
        <w:t xml:space="preserve">a Victorian government English </w:t>
      </w:r>
      <w:r w:rsidR="008019C2">
        <w:t>l</w:t>
      </w:r>
      <w:r w:rsidR="001E3684">
        <w:t xml:space="preserve">anguage </w:t>
      </w:r>
      <w:r w:rsidR="008019C2">
        <w:t>s</w:t>
      </w:r>
      <w:r w:rsidR="001E3684">
        <w:t>chool (</w:t>
      </w:r>
      <w:r w:rsidR="00620C90">
        <w:t>ELS</w:t>
      </w:r>
      <w:r w:rsidR="001E3684">
        <w:t xml:space="preserve">) or English </w:t>
      </w:r>
      <w:r w:rsidR="008019C2">
        <w:t>l</w:t>
      </w:r>
      <w:r w:rsidR="001E3684">
        <w:t xml:space="preserve">anguage </w:t>
      </w:r>
      <w:r w:rsidR="008019C2">
        <w:t>c</w:t>
      </w:r>
      <w:r w:rsidR="001E3684">
        <w:t>entre (</w:t>
      </w:r>
      <w:r w:rsidR="00453E4F">
        <w:t>ELC</w:t>
      </w:r>
      <w:r w:rsidR="001E3684">
        <w:t>)</w:t>
      </w:r>
      <w:r w:rsidR="00620C90">
        <w:t>.</w:t>
      </w:r>
      <w:r w:rsidR="008019C2">
        <w:t xml:space="preserve"> Education services provided to these students must comply with the </w:t>
      </w:r>
      <w:r w:rsidR="008019C2" w:rsidRPr="008019C2">
        <w:rPr>
          <w:i/>
          <w:iCs/>
        </w:rPr>
        <w:t>Education Services for Overseas Students Act 2000</w:t>
      </w:r>
      <w:r w:rsidR="008019C2" w:rsidRPr="008019C2">
        <w:t xml:space="preserve"> (ESOS Act).</w:t>
      </w:r>
    </w:p>
    <w:p w14:paraId="1CDB987D" w14:textId="26ED69DD" w:rsidR="00637352" w:rsidRDefault="008019C2" w:rsidP="00991EA5">
      <w:r>
        <w:rPr>
          <w:rFonts w:eastAsia="Calibri" w:cs="Arial"/>
          <w:szCs w:val="18"/>
        </w:rPr>
        <w:t xml:space="preserve">The Department of Education (DE or the department) </w:t>
      </w:r>
      <w:r w:rsidR="00637352">
        <w:rPr>
          <w:rFonts w:eastAsia="Calibri" w:cs="Arial"/>
          <w:szCs w:val="18"/>
        </w:rPr>
        <w:t>requires standard and study abroad</w:t>
      </w:r>
      <w:r w:rsidR="00637352" w:rsidRPr="00550BCC">
        <w:rPr>
          <w:rFonts w:eastAsia="Calibri" w:cs="Arial"/>
          <w:szCs w:val="18"/>
        </w:rPr>
        <w:t xml:space="preserve"> students entering the </w:t>
      </w:r>
      <w:r w:rsidR="00637352">
        <w:rPr>
          <w:rFonts w:eastAsia="Calibri" w:cs="Arial"/>
          <w:szCs w:val="18"/>
        </w:rPr>
        <w:t>International Student Program (</w:t>
      </w:r>
      <w:r w:rsidR="00637352" w:rsidRPr="00550BCC">
        <w:rPr>
          <w:rFonts w:eastAsia="Calibri" w:cs="Arial"/>
          <w:szCs w:val="18"/>
        </w:rPr>
        <w:t>ISP</w:t>
      </w:r>
      <w:r w:rsidR="00637352">
        <w:rPr>
          <w:rFonts w:eastAsia="Calibri" w:cs="Arial"/>
          <w:szCs w:val="18"/>
        </w:rPr>
        <w:t>)</w:t>
      </w:r>
      <w:r w:rsidR="00637352" w:rsidRPr="00550BCC">
        <w:rPr>
          <w:rFonts w:eastAsia="Calibri" w:cs="Arial"/>
          <w:szCs w:val="18"/>
        </w:rPr>
        <w:t xml:space="preserve"> in years 7-12 </w:t>
      </w:r>
      <w:r w:rsidR="00637352">
        <w:rPr>
          <w:rFonts w:eastAsia="Calibri" w:cs="Arial"/>
          <w:szCs w:val="18"/>
        </w:rPr>
        <w:t xml:space="preserve">to </w:t>
      </w:r>
      <w:r w:rsidR="00637352" w:rsidRPr="00550BCC">
        <w:rPr>
          <w:rFonts w:eastAsia="Calibri" w:cs="Arial"/>
          <w:szCs w:val="18"/>
        </w:rPr>
        <w:t>undertake an</w:t>
      </w:r>
      <w:r w:rsidR="00637352" w:rsidRPr="00550BCC">
        <w:t xml:space="preserve"> </w:t>
      </w:r>
      <w:r w:rsidR="00637352" w:rsidRPr="00550BCC">
        <w:rPr>
          <w:rFonts w:eastAsia="Calibri" w:cs="Arial"/>
          <w:szCs w:val="18"/>
        </w:rPr>
        <w:t xml:space="preserve">IELP prior to commencing mainstream studies at their </w:t>
      </w:r>
      <w:r w:rsidR="00637352">
        <w:t>ESOS</w:t>
      </w:r>
      <w:r w:rsidR="00637352" w:rsidRPr="00550BCC">
        <w:rPr>
          <w:rFonts w:eastAsia="Calibri" w:cs="Arial"/>
          <w:szCs w:val="18"/>
        </w:rPr>
        <w:t xml:space="preserve">-accredited school </w:t>
      </w:r>
      <w:r w:rsidR="00637352" w:rsidRPr="00991EA5">
        <w:rPr>
          <w:rFonts w:eastAsia="Calibri" w:cs="Arial"/>
          <w:szCs w:val="18"/>
        </w:rPr>
        <w:t>unless</w:t>
      </w:r>
      <w:r w:rsidR="00637352" w:rsidRPr="00550BCC">
        <w:rPr>
          <w:rFonts w:eastAsia="Calibri" w:cs="Arial"/>
          <w:b/>
          <w:bCs/>
          <w:szCs w:val="18"/>
        </w:rPr>
        <w:t xml:space="preserve"> </w:t>
      </w:r>
      <w:r w:rsidR="00637352" w:rsidRPr="00550BCC">
        <w:rPr>
          <w:rFonts w:eastAsia="Calibri" w:cs="Arial"/>
          <w:szCs w:val="18"/>
        </w:rPr>
        <w:t xml:space="preserve">they have evidence that they meet </w:t>
      </w:r>
      <w:r w:rsidR="00C741F3">
        <w:rPr>
          <w:rFonts w:eastAsia="Calibri" w:cs="Arial"/>
          <w:szCs w:val="18"/>
        </w:rPr>
        <w:t xml:space="preserve">English language </w:t>
      </w:r>
      <w:r w:rsidR="00637352" w:rsidRPr="00550BCC">
        <w:rPr>
          <w:rFonts w:eastAsia="Calibri" w:cs="Arial"/>
          <w:szCs w:val="18"/>
        </w:rPr>
        <w:t xml:space="preserve">proficiency thresholds. </w:t>
      </w:r>
    </w:p>
    <w:p w14:paraId="3707CE4D" w14:textId="77777777" w:rsidR="004D5F45" w:rsidRDefault="001E3684" w:rsidP="004D5F45">
      <w:pPr>
        <w:rPr>
          <w:rFonts w:eastAsia="Calibri" w:cs="Arial"/>
        </w:rPr>
      </w:pPr>
      <w:r>
        <w:rPr>
          <w:rFonts w:eastAsia="Calibri" w:cs="Arial"/>
        </w:rPr>
        <w:t xml:space="preserve">This </w:t>
      </w:r>
      <w:r w:rsidR="0026270D">
        <w:rPr>
          <w:rFonts w:eastAsia="Calibri" w:cs="Arial"/>
        </w:rPr>
        <w:t>policy</w:t>
      </w:r>
      <w:r>
        <w:rPr>
          <w:rFonts w:eastAsia="Calibri" w:cs="Arial"/>
        </w:rPr>
        <w:t xml:space="preserve"> is applicable to </w:t>
      </w:r>
      <w:r w:rsidR="00DB39F6">
        <w:t xml:space="preserve">department </w:t>
      </w:r>
      <w:r>
        <w:t>staff, Victorian government ELS and ELC staff, and ESOS</w:t>
      </w:r>
      <w:r w:rsidR="00CA587F">
        <w:t>-</w:t>
      </w:r>
      <w:r>
        <w:t xml:space="preserve">accredited Victorian government schools. </w:t>
      </w:r>
      <w:r>
        <w:rPr>
          <w:rFonts w:eastAsia="Calibri" w:cs="Arial"/>
        </w:rPr>
        <w:t xml:space="preserve">It is not applicable to ESOS-accredited schools running </w:t>
      </w:r>
      <w:r w:rsidR="00647B54">
        <w:rPr>
          <w:rFonts w:eastAsia="Calibri" w:cs="Arial"/>
        </w:rPr>
        <w:t>their</w:t>
      </w:r>
      <w:r>
        <w:rPr>
          <w:rFonts w:eastAsia="Calibri" w:cs="Arial"/>
        </w:rPr>
        <w:t xml:space="preserve"> own onsite IELP for international </w:t>
      </w:r>
      <w:r w:rsidR="00A91E55">
        <w:rPr>
          <w:rFonts w:eastAsia="Calibri" w:cs="Arial"/>
        </w:rPr>
        <w:t>students, private</w:t>
      </w:r>
      <w:r>
        <w:rPr>
          <w:rFonts w:eastAsia="Calibri" w:cs="Arial"/>
        </w:rPr>
        <w:t xml:space="preserve"> IELP providers</w:t>
      </w:r>
      <w:r w:rsidR="004E64B9">
        <w:rPr>
          <w:rFonts w:eastAsia="Calibri" w:cs="Arial"/>
        </w:rPr>
        <w:t>, or non-government schools</w:t>
      </w:r>
      <w:r>
        <w:rPr>
          <w:rFonts w:eastAsia="Calibri" w:cs="Arial"/>
        </w:rPr>
        <w:t>.</w:t>
      </w:r>
      <w:r w:rsidR="004D5F45">
        <w:rPr>
          <w:rFonts w:eastAsia="Calibri" w:cs="Arial"/>
        </w:rPr>
        <w:t xml:space="preserve"> </w:t>
      </w:r>
    </w:p>
    <w:p w14:paraId="0454620B" w14:textId="24D6AE35" w:rsidR="004D5F45" w:rsidRPr="00A571D4" w:rsidRDefault="004D5F45" w:rsidP="004D5F45">
      <w:pPr>
        <w:rPr>
          <w:rFonts w:eastAsia="Calibri" w:cs="Arial"/>
          <w:szCs w:val="18"/>
        </w:rPr>
      </w:pPr>
      <w:r>
        <w:rPr>
          <w:rFonts w:eastAsia="Calibri" w:cs="Arial"/>
          <w:szCs w:val="18"/>
        </w:rPr>
        <w:t xml:space="preserve">This policy should be read by ELS/ELCs in conjunction with the associated Memorandum of Understanding (MOU) between </w:t>
      </w:r>
      <w:r w:rsidR="00851660">
        <w:rPr>
          <w:rFonts w:eastAsia="Calibri" w:cs="Arial"/>
          <w:szCs w:val="18"/>
        </w:rPr>
        <w:t xml:space="preserve">the department </w:t>
      </w:r>
      <w:r>
        <w:rPr>
          <w:rFonts w:eastAsia="Calibri" w:cs="Arial"/>
          <w:szCs w:val="18"/>
        </w:rPr>
        <w:t xml:space="preserve">and the ELS/ELC. </w:t>
      </w:r>
    </w:p>
    <w:p w14:paraId="13B93FA4" w14:textId="60F33021" w:rsidR="00D9063F" w:rsidRPr="00CB70C3" w:rsidRDefault="00920011" w:rsidP="00D9063F">
      <w:pPr>
        <w:pStyle w:val="Heading2"/>
        <w:rPr>
          <w:color w:val="00BAC0"/>
        </w:rPr>
      </w:pPr>
      <w:r w:rsidRPr="00CB70C3">
        <w:rPr>
          <w:color w:val="00BAC0"/>
        </w:rPr>
        <w:t>Roles and r</w:t>
      </w:r>
      <w:r w:rsidR="00D9063F" w:rsidRPr="00CB70C3">
        <w:rPr>
          <w:color w:val="00BAC0"/>
        </w:rPr>
        <w:t>esponsibilities</w:t>
      </w:r>
    </w:p>
    <w:p w14:paraId="08F9DF5F" w14:textId="42FE3570" w:rsidR="00C05D6A" w:rsidRDefault="00842964" w:rsidP="00991EA5">
      <w:r>
        <w:rPr>
          <w:rFonts w:eastAsia="Calibri" w:cs="Arial"/>
        </w:rPr>
        <w:t>The</w:t>
      </w:r>
      <w:r w:rsidR="00DB39F6">
        <w:rPr>
          <w:rFonts w:eastAsia="Calibri" w:cs="Arial"/>
        </w:rPr>
        <w:t xml:space="preserve"> department’s</w:t>
      </w:r>
      <w:r>
        <w:rPr>
          <w:rFonts w:eastAsia="Calibri" w:cs="Arial"/>
        </w:rPr>
        <w:t xml:space="preserve"> International Education Division </w:t>
      </w:r>
      <w:r w:rsidR="005328E6" w:rsidRPr="378001D0">
        <w:rPr>
          <w:rFonts w:eastAsia="Calibri" w:cs="Arial"/>
        </w:rPr>
        <w:t xml:space="preserve">(IED) </w:t>
      </w:r>
      <w:r w:rsidR="00E50968">
        <w:rPr>
          <w:rFonts w:eastAsia="Calibri" w:cs="Arial"/>
        </w:rPr>
        <w:t xml:space="preserve">administers the </w:t>
      </w:r>
      <w:r w:rsidR="005328E6" w:rsidRPr="378001D0">
        <w:rPr>
          <w:rFonts w:eastAsia="Calibri" w:cs="Arial"/>
        </w:rPr>
        <w:t>ISP.</w:t>
      </w:r>
      <w:r w:rsidR="00C741F3">
        <w:t xml:space="preserve"> </w:t>
      </w:r>
      <w:r w:rsidR="00B91F62">
        <w:t>I</w:t>
      </w:r>
      <w:r w:rsidR="00C741F3">
        <w:t>t</w:t>
      </w:r>
      <w:r w:rsidR="00C05D6A">
        <w:t xml:space="preserve"> </w:t>
      </w:r>
      <w:r w:rsidR="00637352">
        <w:t xml:space="preserve">accredits Victorian government schools to deliver the ISP and </w:t>
      </w:r>
      <w:r w:rsidR="00C05D6A">
        <w:t xml:space="preserve">monitors </w:t>
      </w:r>
      <w:r w:rsidR="00C741F3">
        <w:t xml:space="preserve">their </w:t>
      </w:r>
      <w:r w:rsidR="00C05D6A">
        <w:t xml:space="preserve">compliance with legislative </w:t>
      </w:r>
      <w:r w:rsidR="0058294C">
        <w:t xml:space="preserve">and regulatory </w:t>
      </w:r>
      <w:r w:rsidR="00C05D6A">
        <w:t>requirements</w:t>
      </w:r>
      <w:r w:rsidR="0058294C">
        <w:t>.</w:t>
      </w:r>
      <w:r w:rsidR="00C741F3">
        <w:t xml:space="preserve"> </w:t>
      </w:r>
      <w:r w:rsidR="0058294C">
        <w:t>It provides</w:t>
      </w:r>
      <w:r w:rsidR="00C741F3">
        <w:t xml:space="preserve"> </w:t>
      </w:r>
      <w:r w:rsidR="00C05D6A">
        <w:t xml:space="preserve">guidance, resources and training to </w:t>
      </w:r>
      <w:r w:rsidR="00637352">
        <w:t>ESOS</w:t>
      </w:r>
      <w:r w:rsidR="00C05D6A">
        <w:t>-accredited schools as required.</w:t>
      </w:r>
      <w:r w:rsidR="00881804">
        <w:t xml:space="preserve"> DE (IED) disburses </w:t>
      </w:r>
      <w:r w:rsidR="00D46B73">
        <w:t xml:space="preserve">international student tuition fees to schools as outlined in </w:t>
      </w:r>
      <w:r w:rsidR="00D46B73" w:rsidRPr="00991EA5">
        <w:rPr>
          <w:i/>
          <w:iCs/>
        </w:rPr>
        <w:t>Ministerial Order 819</w:t>
      </w:r>
      <w:r w:rsidR="00D46B73">
        <w:t xml:space="preserve"> </w:t>
      </w:r>
      <w:r w:rsidR="00D46B73" w:rsidRPr="00653ED4">
        <w:rPr>
          <w:i/>
        </w:rPr>
        <w:t>– Fees for Overseas Students in Government Schools</w:t>
      </w:r>
      <w:r w:rsidR="00D46B73">
        <w:rPr>
          <w:i/>
        </w:rPr>
        <w:t>.</w:t>
      </w:r>
    </w:p>
    <w:p w14:paraId="6F4D978F" w14:textId="4F04AC97" w:rsidR="006D54F9" w:rsidRDefault="00C741F3" w:rsidP="006D54F9">
      <w:pPr>
        <w:rPr>
          <w:rFonts w:eastAsia="Calibri" w:cs="Arial"/>
          <w:szCs w:val="18"/>
        </w:rPr>
      </w:pPr>
      <w:r>
        <w:rPr>
          <w:rFonts w:eastAsia="Calibri" w:cs="Arial"/>
          <w:szCs w:val="18"/>
        </w:rPr>
        <w:t>ESOS</w:t>
      </w:r>
      <w:r w:rsidR="00C029ED">
        <w:rPr>
          <w:rFonts w:eastAsia="Calibri" w:cs="Arial"/>
          <w:szCs w:val="18"/>
        </w:rPr>
        <w:t>-a</w:t>
      </w:r>
      <w:r w:rsidR="00C86EB2">
        <w:rPr>
          <w:rFonts w:eastAsia="Calibri" w:cs="Arial"/>
          <w:szCs w:val="18"/>
        </w:rPr>
        <w:t>ccredited</w:t>
      </w:r>
      <w:r w:rsidR="006D54F9" w:rsidRPr="00A571D4">
        <w:rPr>
          <w:rFonts w:eastAsia="Calibri" w:cs="Arial"/>
          <w:szCs w:val="18"/>
        </w:rPr>
        <w:t xml:space="preserve"> schools are </w:t>
      </w:r>
      <w:r w:rsidR="00DB39F6">
        <w:rPr>
          <w:rFonts w:eastAsia="Calibri" w:cs="Arial"/>
          <w:szCs w:val="18"/>
        </w:rPr>
        <w:t xml:space="preserve">the host school </w:t>
      </w:r>
      <w:r w:rsidR="006D54F9" w:rsidRPr="00A571D4">
        <w:rPr>
          <w:rFonts w:eastAsia="Calibri" w:cs="Arial"/>
          <w:szCs w:val="18"/>
        </w:rPr>
        <w:t xml:space="preserve">responsible for </w:t>
      </w:r>
      <w:r>
        <w:rPr>
          <w:rFonts w:eastAsia="Calibri" w:cs="Arial"/>
          <w:szCs w:val="18"/>
        </w:rPr>
        <w:t>delivering a</w:t>
      </w:r>
      <w:r w:rsidR="0058294C">
        <w:rPr>
          <w:rFonts w:eastAsia="Calibri" w:cs="Arial"/>
          <w:szCs w:val="18"/>
        </w:rPr>
        <w:t xml:space="preserve"> compliant</w:t>
      </w:r>
      <w:r>
        <w:rPr>
          <w:rFonts w:eastAsia="Calibri" w:cs="Arial"/>
          <w:szCs w:val="18"/>
        </w:rPr>
        <w:t xml:space="preserve"> ISP that </w:t>
      </w:r>
      <w:r w:rsidR="0058294C">
        <w:rPr>
          <w:rFonts w:eastAsia="Calibri" w:cs="Arial"/>
          <w:szCs w:val="18"/>
        </w:rPr>
        <w:t>provides learning and wellbeing support to international students</w:t>
      </w:r>
      <w:r w:rsidR="006D54F9" w:rsidRPr="00A571D4">
        <w:rPr>
          <w:rFonts w:eastAsia="Calibri" w:cs="Arial"/>
          <w:szCs w:val="18"/>
        </w:rPr>
        <w:t xml:space="preserve">, including for the period that students attend </w:t>
      </w:r>
      <w:r w:rsidR="00DB39F6">
        <w:rPr>
          <w:rFonts w:eastAsia="Calibri" w:cs="Arial"/>
          <w:szCs w:val="18"/>
        </w:rPr>
        <w:t xml:space="preserve">an </w:t>
      </w:r>
      <w:r w:rsidR="006D54F9" w:rsidRPr="00A571D4">
        <w:rPr>
          <w:rFonts w:eastAsia="Calibri" w:cs="Arial"/>
          <w:szCs w:val="18"/>
        </w:rPr>
        <w:t xml:space="preserve">offsite IELP at </w:t>
      </w:r>
      <w:r w:rsidR="006D54F9">
        <w:rPr>
          <w:rFonts w:eastAsia="Calibri" w:cs="Arial"/>
          <w:szCs w:val="18"/>
        </w:rPr>
        <w:t>an ELS</w:t>
      </w:r>
      <w:r w:rsidR="00A9695E">
        <w:rPr>
          <w:rFonts w:eastAsia="Calibri" w:cs="Arial"/>
          <w:szCs w:val="18"/>
        </w:rPr>
        <w:t>/ELC</w:t>
      </w:r>
      <w:r w:rsidR="006D54F9">
        <w:rPr>
          <w:rFonts w:eastAsia="Calibri" w:cs="Arial"/>
          <w:szCs w:val="18"/>
        </w:rPr>
        <w:t xml:space="preserve">. </w:t>
      </w:r>
      <w:r w:rsidR="00DB39F6">
        <w:rPr>
          <w:rFonts w:eastAsia="Calibri" w:cs="Arial"/>
          <w:szCs w:val="18"/>
        </w:rPr>
        <w:t xml:space="preserve">Principals and </w:t>
      </w:r>
      <w:r w:rsidR="006E6D04">
        <w:rPr>
          <w:rFonts w:eastAsia="Calibri" w:cs="Arial"/>
          <w:szCs w:val="18"/>
        </w:rPr>
        <w:t xml:space="preserve">International Student Coordinators </w:t>
      </w:r>
      <w:r w:rsidR="00C41D09">
        <w:rPr>
          <w:rFonts w:eastAsia="Calibri" w:cs="Arial"/>
          <w:szCs w:val="18"/>
        </w:rPr>
        <w:t xml:space="preserve">(ISCs) </w:t>
      </w:r>
      <w:r w:rsidR="006E6D04">
        <w:rPr>
          <w:rFonts w:eastAsia="Calibri" w:cs="Arial"/>
          <w:szCs w:val="18"/>
        </w:rPr>
        <w:t>are</w:t>
      </w:r>
      <w:r w:rsidR="00DB39F6">
        <w:rPr>
          <w:rFonts w:eastAsia="Calibri" w:cs="Arial"/>
          <w:szCs w:val="18"/>
        </w:rPr>
        <w:t xml:space="preserve"> the key contacts about students in the ISP at their school</w:t>
      </w:r>
      <w:r w:rsidR="006E6D04">
        <w:rPr>
          <w:rFonts w:eastAsia="Calibri" w:cs="Arial"/>
          <w:szCs w:val="18"/>
        </w:rPr>
        <w:t xml:space="preserve">. </w:t>
      </w:r>
      <w:r w:rsidR="00210F2C">
        <w:rPr>
          <w:rFonts w:eastAsia="Calibri" w:cs="Arial"/>
          <w:szCs w:val="18"/>
        </w:rPr>
        <w:br/>
      </w:r>
      <w:r w:rsidR="00210F2C">
        <w:rPr>
          <w:rFonts w:eastAsia="Calibri" w:cs="Arial"/>
          <w:szCs w:val="18"/>
        </w:rPr>
        <w:br/>
      </w:r>
      <w:r w:rsidR="00210F2C" w:rsidRPr="00210F2C">
        <w:rPr>
          <w:rFonts w:eastAsia="Calibri" w:cs="Arial"/>
          <w:szCs w:val="18"/>
        </w:rPr>
        <w:t xml:space="preserve">ELS/ELCs are responsible for delivering an IELP to international students enrolled in the ELS/ELC and ensuring their staff are aware of and meet ESOS compliance requirements. This includes reporting attendance, course progress and any welfare concerns about international students to the ISC at each student’s Victorian government host school.  </w:t>
      </w:r>
    </w:p>
    <w:p w14:paraId="42389FD3" w14:textId="565F43AD" w:rsidR="00824774" w:rsidRPr="00AF0B00" w:rsidRDefault="00824774" w:rsidP="00824774">
      <w:pPr>
        <w:pStyle w:val="Heading2"/>
        <w:rPr>
          <w:color w:val="00BAC0"/>
        </w:rPr>
      </w:pPr>
      <w:r w:rsidRPr="00AF0B00">
        <w:rPr>
          <w:color w:val="00BAC0"/>
        </w:rPr>
        <w:t>Process</w:t>
      </w:r>
      <w:r w:rsidR="00FE4F71">
        <w:rPr>
          <w:color w:val="00BAC0"/>
        </w:rPr>
        <w:t>es</w:t>
      </w:r>
    </w:p>
    <w:p w14:paraId="1D1982E9" w14:textId="6A9A5179" w:rsidR="00FC6BF6" w:rsidRDefault="006359BE" w:rsidP="00FC6BF6">
      <w:pPr>
        <w:pStyle w:val="Heading3"/>
      </w:pPr>
      <w:r>
        <w:t>International s</w:t>
      </w:r>
      <w:r w:rsidR="00FC6BF6">
        <w:t>tudent orientation</w:t>
      </w:r>
    </w:p>
    <w:p w14:paraId="70A24AB9" w14:textId="4FA84D1F" w:rsidR="00FC6BF6" w:rsidRDefault="00FC6BF6" w:rsidP="00BD44B5">
      <w:pPr>
        <w:pStyle w:val="BodyText"/>
      </w:pPr>
      <w:r w:rsidRPr="0030784C">
        <w:t>ELS</w:t>
      </w:r>
      <w:r>
        <w:t>/ELCs</w:t>
      </w:r>
      <w:r w:rsidRPr="0030784C">
        <w:t xml:space="preserve"> may provide </w:t>
      </w:r>
      <w:r>
        <w:t xml:space="preserve">international students </w:t>
      </w:r>
      <w:r w:rsidRPr="0030784C">
        <w:t xml:space="preserve">orientation to their school, and other associated activities to introduce </w:t>
      </w:r>
      <w:r w:rsidR="00E957D6">
        <w:t>them</w:t>
      </w:r>
      <w:r w:rsidRPr="0030784C">
        <w:t xml:space="preserve"> to Victoria, however the </w:t>
      </w:r>
      <w:r w:rsidR="006359BE">
        <w:t>ESOS-</w:t>
      </w:r>
      <w:r w:rsidRPr="0030784C">
        <w:t xml:space="preserve">accredited host school holds responsibility for the orientation of students under </w:t>
      </w:r>
      <w:r w:rsidR="00E957D6">
        <w:t xml:space="preserve">the </w:t>
      </w:r>
      <w:r w:rsidRPr="0030784C">
        <w:t xml:space="preserve">ESOS </w:t>
      </w:r>
      <w:r w:rsidR="00E957D6">
        <w:t>Act</w:t>
      </w:r>
      <w:r w:rsidRPr="0030784C">
        <w:t>.</w:t>
      </w:r>
      <w:r w:rsidR="006359BE">
        <w:t xml:space="preserve"> </w:t>
      </w:r>
      <w:r w:rsidRPr="0030784C">
        <w:t xml:space="preserve">ISCs </w:t>
      </w:r>
      <w:r>
        <w:t>should</w:t>
      </w:r>
      <w:r w:rsidRPr="0030784C">
        <w:t xml:space="preserve"> liaise with ELS</w:t>
      </w:r>
      <w:r>
        <w:t>/ELCs</w:t>
      </w:r>
      <w:r w:rsidRPr="0030784C">
        <w:t xml:space="preserve"> to agree on suitable opportunities for students to be released to attend orientation activities at their host school.</w:t>
      </w:r>
    </w:p>
    <w:p w14:paraId="259B7F09" w14:textId="06A386CA" w:rsidR="0050560C" w:rsidRDefault="0050560C" w:rsidP="0050560C">
      <w:pPr>
        <w:pStyle w:val="Heading3"/>
      </w:pPr>
      <w:r>
        <w:t>R</w:t>
      </w:r>
      <w:r w:rsidRPr="0050560C">
        <w:t>eport</w:t>
      </w:r>
      <w:r>
        <w:t>ing</w:t>
      </w:r>
      <w:r w:rsidRPr="0050560C">
        <w:t xml:space="preserve"> </w:t>
      </w:r>
      <w:r w:rsidR="00E957D6">
        <w:t xml:space="preserve">on student </w:t>
      </w:r>
      <w:r w:rsidRPr="0050560C">
        <w:t>attendance</w:t>
      </w:r>
      <w:r w:rsidR="00E957D6">
        <w:t xml:space="preserve">, </w:t>
      </w:r>
      <w:r w:rsidRPr="0050560C">
        <w:t>course progress</w:t>
      </w:r>
      <w:r w:rsidR="00E957D6">
        <w:t xml:space="preserve"> </w:t>
      </w:r>
      <w:r w:rsidR="009F07CD">
        <w:t>and</w:t>
      </w:r>
      <w:r w:rsidR="00E957D6">
        <w:t xml:space="preserve"> welfare</w:t>
      </w:r>
    </w:p>
    <w:p w14:paraId="2183958E" w14:textId="7CC4010E" w:rsidR="0050560C" w:rsidRDefault="0050560C" w:rsidP="0050560C">
      <w:pPr>
        <w:pStyle w:val="BodyText"/>
      </w:pPr>
      <w:r>
        <w:t xml:space="preserve">Attendance and course progress must be reported by the ELS/ELC to the ISC at </w:t>
      </w:r>
      <w:r w:rsidR="00584487">
        <w:t>each student’s host</w:t>
      </w:r>
      <w:r>
        <w:t xml:space="preserve"> school. </w:t>
      </w:r>
      <w:r w:rsidR="00913093">
        <w:t>ELS/E</w:t>
      </w:r>
      <w:r w:rsidR="00B76A8A">
        <w:t>L</w:t>
      </w:r>
      <w:r w:rsidR="00913093">
        <w:t>Cs</w:t>
      </w:r>
      <w:r>
        <w:t xml:space="preserve"> should liaise with the ISC regarding the preferred frequency, </w:t>
      </w:r>
      <w:proofErr w:type="gramStart"/>
      <w:r>
        <w:t>format</w:t>
      </w:r>
      <w:proofErr w:type="gramEnd"/>
      <w:r>
        <w:t xml:space="preserve"> and method of providing course progress and attendance.</w:t>
      </w:r>
    </w:p>
    <w:p w14:paraId="75A2FA11" w14:textId="695B89DD" w:rsidR="00FC6BF6" w:rsidRDefault="00550F53" w:rsidP="0050560C">
      <w:pPr>
        <w:pStyle w:val="BodyText"/>
      </w:pPr>
      <w:r>
        <w:t xml:space="preserve">In CASES21 </w:t>
      </w:r>
      <w:r w:rsidR="00FC6BF6">
        <w:t xml:space="preserve">ELS/ELCs should </w:t>
      </w:r>
      <w:r w:rsidR="00FC6BF6" w:rsidRPr="00913093">
        <w:t xml:space="preserve">mark </w:t>
      </w:r>
      <w:r w:rsidR="00E957D6">
        <w:t xml:space="preserve">the </w:t>
      </w:r>
      <w:r w:rsidR="00FC6BF6" w:rsidRPr="00913093">
        <w:t>students as current, while the host school mark</w:t>
      </w:r>
      <w:r w:rsidR="00FC6BF6">
        <w:t>s</w:t>
      </w:r>
      <w:r w:rsidR="00FC6BF6" w:rsidRPr="00913093">
        <w:t xml:space="preserve"> them as future students. </w:t>
      </w:r>
      <w:r w:rsidR="00FC6BF6">
        <w:t>This will allow ELS/ELC staff</w:t>
      </w:r>
      <w:r w:rsidR="00FC6BF6" w:rsidRPr="00913093">
        <w:t xml:space="preserve"> </w:t>
      </w:r>
      <w:r w:rsidR="00FC6BF6">
        <w:t>to</w:t>
      </w:r>
      <w:r w:rsidR="00FC6BF6" w:rsidRPr="00913093">
        <w:t xml:space="preserve"> use CASES21 </w:t>
      </w:r>
      <w:r w:rsidR="00FC6BF6">
        <w:t>to</w:t>
      </w:r>
      <w:r w:rsidR="00FC6BF6" w:rsidRPr="00913093">
        <w:t xml:space="preserve"> record </w:t>
      </w:r>
      <w:r w:rsidR="00FC6BF6">
        <w:t>each</w:t>
      </w:r>
      <w:r w:rsidR="00FC6BF6" w:rsidRPr="00913093">
        <w:t xml:space="preserve"> student’s attendance </w:t>
      </w:r>
      <w:r w:rsidR="00FC6BF6">
        <w:t>and course progress during the IELP</w:t>
      </w:r>
      <w:r w:rsidR="00FC6BF6" w:rsidRPr="00913093">
        <w:t>.</w:t>
      </w:r>
    </w:p>
    <w:p w14:paraId="41D1BF0A" w14:textId="1A48D287" w:rsidR="00E957D6" w:rsidRPr="00BD44B5" w:rsidRDefault="0050560C" w:rsidP="0050560C">
      <w:pPr>
        <w:pStyle w:val="BodyText"/>
        <w:rPr>
          <w:b/>
          <w:bCs/>
        </w:rPr>
      </w:pPr>
      <w:r>
        <w:lastRenderedPageBreak/>
        <w:t xml:space="preserve">Attendance reports should be provided regularly </w:t>
      </w:r>
      <w:r w:rsidR="00FE4F71">
        <w:t xml:space="preserve">by the ELS/ELC </w:t>
      </w:r>
      <w:r w:rsidR="00550F53">
        <w:t>to</w:t>
      </w:r>
      <w:r>
        <w:t xml:space="preserve"> the</w:t>
      </w:r>
      <w:r w:rsidR="00550F53">
        <w:t xml:space="preserve"> ISC at the</w:t>
      </w:r>
      <w:r>
        <w:t xml:space="preserve"> host school</w:t>
      </w:r>
      <w:r w:rsidR="00A10C0C">
        <w:t xml:space="preserve"> </w:t>
      </w:r>
      <w:r>
        <w:t>to review, with additional communication as soon as a student’s attendance becomes disrupted and/or is at risk of falling below 90% in a term.</w:t>
      </w:r>
    </w:p>
    <w:p w14:paraId="1E89A1F2" w14:textId="4109A8EB" w:rsidR="00C36074" w:rsidRDefault="00C36074" w:rsidP="0050560C">
      <w:pPr>
        <w:pStyle w:val="BodyText"/>
      </w:pPr>
      <w:r>
        <w:t xml:space="preserve">Course progress should be reported </w:t>
      </w:r>
      <w:r w:rsidR="00FE4F71">
        <w:t xml:space="preserve">by the ELS/ELC to the host school </w:t>
      </w:r>
      <w:r>
        <w:t>at minimum every term, or more frequently if a student needs additional support or is at risk of being unable to progress to mainstream studies at the end of 2 terms of the IELP.</w:t>
      </w:r>
    </w:p>
    <w:p w14:paraId="76F1D51A" w14:textId="6CCD618E" w:rsidR="00E957D6" w:rsidRPr="00E10610" w:rsidRDefault="00E957D6" w:rsidP="00E957D6">
      <w:pPr>
        <w:rPr>
          <w:rFonts w:eastAsiaTheme="majorEastAsia" w:cstheme="majorBidi"/>
        </w:rPr>
      </w:pPr>
      <w:r w:rsidRPr="00E10610">
        <w:t xml:space="preserve">If </w:t>
      </w:r>
      <w:r>
        <w:t>the ELS/ELC</w:t>
      </w:r>
      <w:r w:rsidR="00DF2AC3">
        <w:t xml:space="preserve"> or student’s host school</w:t>
      </w:r>
      <w:r>
        <w:t xml:space="preserve"> has</w:t>
      </w:r>
      <w:r w:rsidRPr="00E10610">
        <w:t xml:space="preserve"> any concerns about </w:t>
      </w:r>
      <w:r>
        <w:t>a</w:t>
      </w:r>
      <w:r w:rsidRPr="00E10610">
        <w:t xml:space="preserve"> student’s progress, attendance, or welfare, </w:t>
      </w:r>
      <w:r w:rsidR="00DF2AC3">
        <w:t>contact should be made between the ELS/ELC and</w:t>
      </w:r>
      <w:r w:rsidRPr="00E10610">
        <w:t xml:space="preserve"> the ISC at the student’s host school as soon as practicable. </w:t>
      </w:r>
    </w:p>
    <w:p w14:paraId="0F479BE3" w14:textId="2EC0F8B4" w:rsidR="006E4661" w:rsidRDefault="006E4661" w:rsidP="006E4661">
      <w:pPr>
        <w:pStyle w:val="Heading3"/>
      </w:pPr>
      <w:r>
        <w:t>International student tuition fees for IELP</w:t>
      </w:r>
    </w:p>
    <w:p w14:paraId="2372674E" w14:textId="562FF356" w:rsidR="00E957D6" w:rsidRDefault="00ED00F3" w:rsidP="00BD44B5">
      <w:pPr>
        <w:rPr>
          <w:rFonts w:eastAsia="Calibri" w:cs="Arial"/>
          <w:szCs w:val="18"/>
        </w:rPr>
      </w:pPr>
      <w:r>
        <w:rPr>
          <w:rFonts w:eastAsia="Calibri" w:cs="Arial"/>
          <w:szCs w:val="18"/>
        </w:rPr>
        <w:t>For ESOS secondary students, t</w:t>
      </w:r>
      <w:r w:rsidR="00FE4F71">
        <w:rPr>
          <w:rFonts w:eastAsia="Calibri" w:cs="Arial"/>
          <w:szCs w:val="18"/>
        </w:rPr>
        <w:t>he department</w:t>
      </w:r>
      <w:r w:rsidR="006E4661">
        <w:rPr>
          <w:rFonts w:eastAsia="Calibri" w:cs="Arial"/>
          <w:szCs w:val="18"/>
        </w:rPr>
        <w:t xml:space="preserve"> will disburse</w:t>
      </w:r>
      <w:r w:rsidR="009F07CD">
        <w:rPr>
          <w:rFonts w:eastAsia="Calibri" w:cs="Arial"/>
          <w:szCs w:val="18"/>
        </w:rPr>
        <w:t xml:space="preserve"> </w:t>
      </w:r>
      <w:r w:rsidR="00FE4F71">
        <w:rPr>
          <w:rFonts w:eastAsia="Calibri" w:cs="Arial"/>
          <w:szCs w:val="18"/>
        </w:rPr>
        <w:t xml:space="preserve">international student </w:t>
      </w:r>
      <w:r w:rsidR="009F07CD">
        <w:rPr>
          <w:rFonts w:eastAsia="Calibri" w:cs="Arial"/>
          <w:szCs w:val="18"/>
        </w:rPr>
        <w:t>tuition</w:t>
      </w:r>
      <w:r w:rsidR="006E4661">
        <w:rPr>
          <w:rFonts w:eastAsia="Calibri" w:cs="Arial"/>
          <w:szCs w:val="18"/>
        </w:rPr>
        <w:t xml:space="preserve"> fees collected to the ELS/ELC </w:t>
      </w:r>
      <w:r w:rsidR="009F07CD">
        <w:rPr>
          <w:rFonts w:eastAsia="Calibri" w:cs="Arial"/>
          <w:szCs w:val="18"/>
        </w:rPr>
        <w:t xml:space="preserve">and ESOS-accredited host school </w:t>
      </w:r>
      <w:r w:rsidR="006E4661">
        <w:rPr>
          <w:rFonts w:eastAsia="Calibri" w:cs="Arial"/>
          <w:szCs w:val="18"/>
        </w:rPr>
        <w:t xml:space="preserve">at the rates outlined in </w:t>
      </w:r>
      <w:r w:rsidR="006E4661" w:rsidRPr="00BD44B5">
        <w:rPr>
          <w:rFonts w:eastAsia="Calibri" w:cs="Arial"/>
          <w:szCs w:val="18"/>
        </w:rPr>
        <w:t>Ministerial Order 819</w:t>
      </w:r>
      <w:r>
        <w:rPr>
          <w:rFonts w:eastAsia="Calibri" w:cs="Arial"/>
          <w:szCs w:val="18"/>
        </w:rPr>
        <w:t>,</w:t>
      </w:r>
      <w:r w:rsidR="002D198E">
        <w:rPr>
          <w:rFonts w:eastAsia="Calibri" w:cs="Arial"/>
          <w:szCs w:val="18"/>
        </w:rPr>
        <w:t xml:space="preserve"> </w:t>
      </w:r>
      <w:r w:rsidR="006E4661">
        <w:rPr>
          <w:rFonts w:eastAsia="Calibri" w:cs="Arial"/>
          <w:szCs w:val="18"/>
        </w:rPr>
        <w:t xml:space="preserve">after the completion of each term. </w:t>
      </w:r>
    </w:p>
    <w:p w14:paraId="26D5F146" w14:textId="29594769" w:rsidR="00ED00F3" w:rsidRDefault="00ED00F3" w:rsidP="00BD44B5">
      <w:r>
        <w:rPr>
          <w:rFonts w:eastAsia="Calibri" w:cs="Arial"/>
          <w:szCs w:val="18"/>
        </w:rPr>
        <w:t xml:space="preserve">For ESOS primary students the department will disburse international student tuition fees collected to the ESOS-accredited host school at the rates outlined in </w:t>
      </w:r>
      <w:r w:rsidRPr="00BD44B5">
        <w:rPr>
          <w:rFonts w:eastAsia="Calibri" w:cs="Arial"/>
          <w:szCs w:val="18"/>
        </w:rPr>
        <w:t>Ministerial Order 819</w:t>
      </w:r>
      <w:r>
        <w:rPr>
          <w:rFonts w:eastAsia="Calibri" w:cs="Arial"/>
          <w:szCs w:val="18"/>
        </w:rPr>
        <w:t xml:space="preserve">, after the completion of each term. The ESOS-accredited host school will then disburse the relevant portion to the ELS/ELC as outlined in the Ministerial Order 819. </w:t>
      </w:r>
    </w:p>
    <w:p w14:paraId="0E5BF108" w14:textId="4E84FC8B" w:rsidR="00DE335D" w:rsidRDefault="00DE335D" w:rsidP="00DE335D">
      <w:pPr>
        <w:pStyle w:val="Heading3"/>
      </w:pPr>
      <w:r>
        <w:t xml:space="preserve">ESOS training </w:t>
      </w:r>
      <w:r w:rsidR="009F07CD">
        <w:t>for schools</w:t>
      </w:r>
    </w:p>
    <w:p w14:paraId="7602EEAB" w14:textId="60DC01CD" w:rsidR="00DE335D" w:rsidRDefault="00FE4F71" w:rsidP="00DE335D">
      <w:pPr>
        <w:rPr>
          <w:rFonts w:eastAsia="Calibri" w:cs="Arial"/>
          <w:szCs w:val="18"/>
        </w:rPr>
      </w:pPr>
      <w:r>
        <w:rPr>
          <w:rFonts w:eastAsia="Calibri" w:cs="Arial"/>
          <w:szCs w:val="18"/>
        </w:rPr>
        <w:t>The department</w:t>
      </w:r>
      <w:r w:rsidR="009F07CD">
        <w:rPr>
          <w:rFonts w:eastAsia="Calibri" w:cs="Arial"/>
          <w:szCs w:val="18"/>
        </w:rPr>
        <w:t xml:space="preserve"> </w:t>
      </w:r>
      <w:r w:rsidR="00DE335D">
        <w:rPr>
          <w:rFonts w:eastAsia="Calibri" w:cs="Arial"/>
          <w:szCs w:val="18"/>
        </w:rPr>
        <w:t xml:space="preserve">requires </w:t>
      </w:r>
      <w:r w:rsidR="009F07CD">
        <w:rPr>
          <w:rFonts w:eastAsia="Calibri" w:cs="Arial"/>
          <w:szCs w:val="18"/>
        </w:rPr>
        <w:t>ESOS</w:t>
      </w:r>
      <w:r w:rsidR="00DE335D">
        <w:rPr>
          <w:rFonts w:eastAsia="Calibri" w:cs="Arial"/>
          <w:szCs w:val="18"/>
        </w:rPr>
        <w:t xml:space="preserve">-accredited schools to participate in </w:t>
      </w:r>
      <w:r w:rsidR="009F07CD">
        <w:rPr>
          <w:rFonts w:eastAsia="Calibri" w:cs="Arial"/>
          <w:szCs w:val="18"/>
        </w:rPr>
        <w:t xml:space="preserve">annual </w:t>
      </w:r>
      <w:r w:rsidR="00D811AA">
        <w:rPr>
          <w:rFonts w:eastAsia="Calibri" w:cs="Arial"/>
          <w:szCs w:val="18"/>
        </w:rPr>
        <w:t xml:space="preserve">ESOS </w:t>
      </w:r>
      <w:r w:rsidR="00DE335D">
        <w:rPr>
          <w:rFonts w:eastAsia="Calibri" w:cs="Arial"/>
          <w:szCs w:val="18"/>
        </w:rPr>
        <w:t>training. ELS</w:t>
      </w:r>
      <w:r>
        <w:rPr>
          <w:rFonts w:eastAsia="Calibri" w:cs="Arial"/>
          <w:szCs w:val="18"/>
        </w:rPr>
        <w:t>s</w:t>
      </w:r>
      <w:r w:rsidR="00DE335D">
        <w:rPr>
          <w:rFonts w:eastAsia="Calibri" w:cs="Arial"/>
          <w:szCs w:val="18"/>
        </w:rPr>
        <w:t xml:space="preserve">/ELCs may be requested to attend selected training </w:t>
      </w:r>
      <w:r w:rsidR="009F07CD">
        <w:rPr>
          <w:rFonts w:eastAsia="Calibri" w:cs="Arial"/>
          <w:szCs w:val="18"/>
        </w:rPr>
        <w:t xml:space="preserve">if </w:t>
      </w:r>
      <w:r w:rsidR="00DE335D">
        <w:rPr>
          <w:rFonts w:eastAsia="Calibri" w:cs="Arial"/>
          <w:szCs w:val="18"/>
        </w:rPr>
        <w:t xml:space="preserve">deemed necessary by </w:t>
      </w:r>
      <w:r>
        <w:rPr>
          <w:rFonts w:eastAsia="Calibri" w:cs="Arial"/>
          <w:szCs w:val="18"/>
        </w:rPr>
        <w:t>the department</w:t>
      </w:r>
      <w:r w:rsidR="00842964">
        <w:rPr>
          <w:rFonts w:eastAsia="Calibri" w:cs="Arial"/>
          <w:szCs w:val="18"/>
        </w:rPr>
        <w:t>.</w:t>
      </w:r>
      <w:r w:rsidR="009F07CD">
        <w:rPr>
          <w:rFonts w:eastAsia="Calibri" w:cs="Arial"/>
          <w:szCs w:val="18"/>
        </w:rPr>
        <w:t xml:space="preserve"> </w:t>
      </w:r>
    </w:p>
    <w:p w14:paraId="02595228" w14:textId="77777777" w:rsidR="00824774" w:rsidRPr="00AF0B00" w:rsidRDefault="00824774" w:rsidP="00824774">
      <w:pPr>
        <w:pStyle w:val="Heading2"/>
        <w:rPr>
          <w:color w:val="00BAC0"/>
        </w:rPr>
      </w:pPr>
      <w:r w:rsidRPr="00AF0B00">
        <w:rPr>
          <w:color w:val="00BAC0"/>
        </w:rPr>
        <w:t>Legislation</w:t>
      </w:r>
    </w:p>
    <w:p w14:paraId="4BF8EC86" w14:textId="0B5D1073" w:rsidR="00F02FCF" w:rsidRPr="00BD44B5" w:rsidRDefault="003650F6" w:rsidP="00653ED4">
      <w:pPr>
        <w:pStyle w:val="ListBullet"/>
        <w:numPr>
          <w:ilvl w:val="0"/>
          <w:numId w:val="35"/>
        </w:numPr>
      </w:pPr>
      <w:r w:rsidRPr="00BD44B5">
        <w:rPr>
          <w:i/>
          <w:iCs/>
        </w:rPr>
        <w:t>Education Services for Overseas Students Act 2000</w:t>
      </w:r>
      <w:r w:rsidRPr="00BD44B5">
        <w:t xml:space="preserve"> (ESOS Act) (</w:t>
      </w:r>
      <w:proofErr w:type="spellStart"/>
      <w:r w:rsidRPr="00BD44B5">
        <w:t>Cth</w:t>
      </w:r>
      <w:proofErr w:type="spellEnd"/>
      <w:r w:rsidRPr="00BD44B5">
        <w:t>)</w:t>
      </w:r>
    </w:p>
    <w:p w14:paraId="029C53FD" w14:textId="01D9F928" w:rsidR="00FB303D" w:rsidRPr="00BD44B5" w:rsidRDefault="003650F6" w:rsidP="00653ED4">
      <w:pPr>
        <w:pStyle w:val="ListBullet"/>
        <w:numPr>
          <w:ilvl w:val="0"/>
          <w:numId w:val="35"/>
        </w:numPr>
        <w:rPr>
          <w:i/>
        </w:rPr>
      </w:pPr>
      <w:r w:rsidRPr="00C65580">
        <w:rPr>
          <w:i/>
          <w:iCs/>
        </w:rPr>
        <w:t xml:space="preserve">National Code of Practice for Providers of Education and Training to Overseas Students 2018 </w:t>
      </w:r>
      <w:r w:rsidRPr="00BD44B5">
        <w:t>(National Code) (</w:t>
      </w:r>
      <w:proofErr w:type="spellStart"/>
      <w:r w:rsidRPr="00BD44B5">
        <w:t>Cth</w:t>
      </w:r>
      <w:proofErr w:type="spellEnd"/>
      <w:r w:rsidRPr="00BD44B5">
        <w:t>)</w:t>
      </w:r>
    </w:p>
    <w:p w14:paraId="2857C4DD" w14:textId="473350F2" w:rsidR="00500A4C" w:rsidRPr="00653ED4" w:rsidRDefault="003650F6" w:rsidP="00653ED4">
      <w:pPr>
        <w:pStyle w:val="ListBullet"/>
        <w:numPr>
          <w:ilvl w:val="0"/>
          <w:numId w:val="35"/>
        </w:numPr>
        <w:rPr>
          <w:i/>
        </w:rPr>
      </w:pPr>
      <w:r w:rsidRPr="00653ED4">
        <w:rPr>
          <w:i/>
        </w:rPr>
        <w:t>Ministerial Order 819 – Fees for Overseas Students in Government Schools (Vic)</w:t>
      </w:r>
      <w:r w:rsidR="00500A4C" w:rsidRPr="00653ED4">
        <w:rPr>
          <w:i/>
        </w:rPr>
        <w:t xml:space="preserve"> </w:t>
      </w:r>
    </w:p>
    <w:p w14:paraId="2BCA4E9D" w14:textId="79FBEFED" w:rsidR="00D9063F" w:rsidRPr="00AF0B00" w:rsidRDefault="00920011" w:rsidP="00D9063F">
      <w:pPr>
        <w:pStyle w:val="Heading2"/>
        <w:rPr>
          <w:color w:val="00BAC0"/>
        </w:rPr>
      </w:pPr>
      <w:r w:rsidRPr="00AF0B00">
        <w:rPr>
          <w:color w:val="00BAC0"/>
        </w:rPr>
        <w:t>Related d</w:t>
      </w:r>
      <w:r w:rsidR="00D9063F" w:rsidRPr="00AF0B00">
        <w:rPr>
          <w:color w:val="00BAC0"/>
        </w:rPr>
        <w:t>ocuments</w:t>
      </w:r>
    </w:p>
    <w:p w14:paraId="1B08B7FD" w14:textId="77777777" w:rsidR="009F07CD" w:rsidRDefault="002C260B" w:rsidP="00BD44B5">
      <w:pPr>
        <w:pStyle w:val="ListBullet"/>
        <w:keepNext/>
        <w:numPr>
          <w:ilvl w:val="0"/>
          <w:numId w:val="46"/>
        </w:numPr>
      </w:pPr>
      <w:hyperlink r:id="rId12" w:history="1">
        <w:r w:rsidR="009F07CD" w:rsidRPr="0092015B">
          <w:rPr>
            <w:rStyle w:val="Hyperlink"/>
          </w:rPr>
          <w:t>ISP Attendance Policy</w:t>
        </w:r>
      </w:hyperlink>
    </w:p>
    <w:p w14:paraId="366149AF" w14:textId="6418ACFC" w:rsidR="009F07CD" w:rsidRPr="00EB1838" w:rsidRDefault="002C260B" w:rsidP="00BD44B5">
      <w:pPr>
        <w:pStyle w:val="ListBullet"/>
        <w:keepNext/>
        <w:numPr>
          <w:ilvl w:val="0"/>
          <w:numId w:val="46"/>
        </w:numPr>
      </w:pPr>
      <w:hyperlink r:id="rId13" w:history="1">
        <w:r w:rsidR="009F07CD" w:rsidRPr="00F31D15">
          <w:rPr>
            <w:rStyle w:val="Hyperlink"/>
          </w:rPr>
          <w:t>ISP Course Progress Policy</w:t>
        </w:r>
      </w:hyperlink>
    </w:p>
    <w:p w14:paraId="53C43B4D" w14:textId="3CDDA69A" w:rsidR="00D9063F" w:rsidRPr="00AF0B00" w:rsidRDefault="00920011" w:rsidP="005F0F66">
      <w:pPr>
        <w:pStyle w:val="Heading2"/>
        <w:numPr>
          <w:ilvl w:val="0"/>
          <w:numId w:val="0"/>
        </w:numPr>
        <w:rPr>
          <w:color w:val="00BAC0"/>
        </w:rPr>
      </w:pPr>
      <w:r w:rsidRPr="00AF0B00">
        <w:rPr>
          <w:color w:val="00BAC0"/>
        </w:rPr>
        <w:t>Supporting in</w:t>
      </w:r>
      <w:r w:rsidR="00D9063F" w:rsidRPr="00AF0B00">
        <w:rPr>
          <w:color w:val="00BAC0"/>
        </w:rPr>
        <w:t xml:space="preserve">formation / </w:t>
      </w:r>
      <w:r w:rsidRPr="00AF0B00">
        <w:rPr>
          <w:color w:val="00BAC0"/>
        </w:rPr>
        <w:t>w</w:t>
      </w:r>
      <w:r w:rsidR="00D9063F" w:rsidRPr="00AF0B00">
        <w:rPr>
          <w:color w:val="00BAC0"/>
        </w:rPr>
        <w:t>ebsites</w:t>
      </w:r>
    </w:p>
    <w:p w14:paraId="3174E39B" w14:textId="3B180E89" w:rsidR="0049629A" w:rsidRPr="00BE6D54" w:rsidRDefault="002C260B" w:rsidP="00BE6D54">
      <w:pPr>
        <w:pStyle w:val="ListBullet"/>
        <w:numPr>
          <w:ilvl w:val="0"/>
          <w:numId w:val="23"/>
        </w:numPr>
      </w:pPr>
      <w:hyperlink r:id="rId14" w:history="1">
        <w:r w:rsidR="00EB1838" w:rsidRPr="00EB1838">
          <w:rPr>
            <w:rStyle w:val="Hyperlink"/>
          </w:rPr>
          <w:t>ISP School Toolkit on the Policy and Advisory Library (PAL)</w:t>
        </w:r>
      </w:hyperlink>
    </w:p>
    <w:p w14:paraId="3D411161" w14:textId="6314D67A" w:rsidR="00096B27" w:rsidRPr="00AF0B00" w:rsidRDefault="00920011" w:rsidP="00096B27">
      <w:pPr>
        <w:pStyle w:val="Heading2"/>
        <w:rPr>
          <w:color w:val="00BAC0"/>
        </w:rPr>
      </w:pPr>
      <w:r w:rsidRPr="00AF0B00">
        <w:rPr>
          <w:color w:val="00BAC0"/>
        </w:rPr>
        <w:t>D</w:t>
      </w:r>
      <w:r w:rsidR="00096B27" w:rsidRPr="00AF0B00">
        <w:rPr>
          <w:color w:val="00BAC0"/>
        </w:rPr>
        <w:t>efinitions</w:t>
      </w:r>
    </w:p>
    <w:p w14:paraId="216A0AB2" w14:textId="18D268D3" w:rsidR="003650F6" w:rsidRPr="00653ED4" w:rsidRDefault="003650F6" w:rsidP="003650F6">
      <w:pPr>
        <w:pStyle w:val="ListBullet"/>
        <w:numPr>
          <w:ilvl w:val="0"/>
          <w:numId w:val="23"/>
        </w:numPr>
      </w:pPr>
      <w:r w:rsidRPr="00786D86">
        <w:rPr>
          <w:b/>
          <w:bCs/>
        </w:rPr>
        <w:t>CRICOS</w:t>
      </w:r>
      <w:r>
        <w:t xml:space="preserve"> is the </w:t>
      </w:r>
      <w:r w:rsidRPr="00821CFC">
        <w:t>Commonwealth Register of Institutions and Courses for Overseas Students</w:t>
      </w:r>
      <w:r>
        <w:t>.</w:t>
      </w:r>
    </w:p>
    <w:p w14:paraId="68A82ADD" w14:textId="107B87D7" w:rsidR="009F07CD" w:rsidRPr="00BD44B5" w:rsidRDefault="009F07CD" w:rsidP="00BD44B5">
      <w:pPr>
        <w:pStyle w:val="ListBullet"/>
        <w:keepNext/>
        <w:numPr>
          <w:ilvl w:val="0"/>
          <w:numId w:val="23"/>
        </w:numPr>
      </w:pPr>
      <w:r w:rsidRPr="00622B0E">
        <w:rPr>
          <w:b/>
        </w:rPr>
        <w:t>DE</w:t>
      </w:r>
      <w:r>
        <w:t xml:space="preserve"> or the department means Department of Education in Victoria.</w:t>
      </w:r>
    </w:p>
    <w:p w14:paraId="4E6315CE" w14:textId="021DF4A7" w:rsidR="003650F6" w:rsidRDefault="003650F6" w:rsidP="004A707E">
      <w:pPr>
        <w:pStyle w:val="ListBullet"/>
        <w:numPr>
          <w:ilvl w:val="0"/>
          <w:numId w:val="23"/>
        </w:numPr>
      </w:pPr>
      <w:r w:rsidRPr="00F55C1B">
        <w:rPr>
          <w:b/>
        </w:rPr>
        <w:t>IED</w:t>
      </w:r>
      <w:r w:rsidRPr="00F55C1B">
        <w:t xml:space="preserve"> </w:t>
      </w:r>
      <w:r w:rsidR="00FE4F71">
        <w:t xml:space="preserve">is the </w:t>
      </w:r>
      <w:r w:rsidRPr="00F55C1B">
        <w:t>International Education Division.</w:t>
      </w:r>
      <w:r>
        <w:t xml:space="preserve"> </w:t>
      </w:r>
      <w:r w:rsidRPr="00F55C1B">
        <w:t xml:space="preserve">IED is the division in </w:t>
      </w:r>
      <w:r>
        <w:t>the department</w:t>
      </w:r>
      <w:r w:rsidRPr="00F55C1B">
        <w:t xml:space="preserve"> that administers the </w:t>
      </w:r>
      <w:r>
        <w:t>ISP</w:t>
      </w:r>
      <w:r w:rsidRPr="00F55C1B">
        <w:t xml:space="preserve"> in Victorian government schools. IED is not a separate entity </w:t>
      </w:r>
      <w:r>
        <w:t>to the department, which</w:t>
      </w:r>
      <w:r w:rsidRPr="00F55C1B">
        <w:t xml:space="preserve"> is the CRICOS registered provider.</w:t>
      </w:r>
    </w:p>
    <w:p w14:paraId="7800EAB0" w14:textId="15C2E671" w:rsidR="00474821" w:rsidRPr="00653ED4" w:rsidRDefault="00474821" w:rsidP="003650F6">
      <w:pPr>
        <w:pStyle w:val="ListBullet"/>
        <w:numPr>
          <w:ilvl w:val="0"/>
          <w:numId w:val="23"/>
        </w:numPr>
        <w:rPr>
          <w:bCs/>
        </w:rPr>
      </w:pPr>
      <w:r>
        <w:rPr>
          <w:b/>
        </w:rPr>
        <w:t xml:space="preserve">ELC </w:t>
      </w:r>
      <w:r w:rsidRPr="00653ED4">
        <w:rPr>
          <w:bCs/>
        </w:rPr>
        <w:t>for the purpose of this document is a Victorian government English Language Centre</w:t>
      </w:r>
    </w:p>
    <w:p w14:paraId="10A22331" w14:textId="62B5AC28" w:rsidR="00474821" w:rsidRDefault="00474821" w:rsidP="003650F6">
      <w:pPr>
        <w:pStyle w:val="ListBullet"/>
        <w:numPr>
          <w:ilvl w:val="0"/>
          <w:numId w:val="23"/>
        </w:numPr>
      </w:pPr>
      <w:r>
        <w:rPr>
          <w:b/>
        </w:rPr>
        <w:t xml:space="preserve">ELS </w:t>
      </w:r>
      <w:r w:rsidRPr="00653ED4">
        <w:rPr>
          <w:bCs/>
        </w:rPr>
        <w:t>for the purpose of this document is a Victorian government English Language School</w:t>
      </w:r>
    </w:p>
    <w:p w14:paraId="18A14E3D" w14:textId="586243AD" w:rsidR="003650F6" w:rsidRPr="00653ED4" w:rsidRDefault="003650F6" w:rsidP="003650F6">
      <w:pPr>
        <w:pStyle w:val="ListBullet"/>
        <w:numPr>
          <w:ilvl w:val="0"/>
          <w:numId w:val="23"/>
        </w:numPr>
      </w:pPr>
      <w:r w:rsidRPr="00653ED4">
        <w:rPr>
          <w:b/>
          <w:bCs/>
        </w:rPr>
        <w:t>ESOS</w:t>
      </w:r>
      <w:r>
        <w:t xml:space="preserve"> </w:t>
      </w:r>
      <w:r w:rsidR="00BE6D54">
        <w:t>means</w:t>
      </w:r>
      <w:r>
        <w:t xml:space="preserve"> the </w:t>
      </w:r>
      <w:r w:rsidRPr="00653ED4">
        <w:rPr>
          <w:i/>
          <w:iCs/>
        </w:rPr>
        <w:t>Education Services for Overseas Students Act 2000</w:t>
      </w:r>
    </w:p>
    <w:p w14:paraId="102DBE88" w14:textId="58774FAF" w:rsidR="009F07CD" w:rsidRPr="0058700D" w:rsidRDefault="009F07CD" w:rsidP="009F07CD">
      <w:pPr>
        <w:pStyle w:val="ListBullet"/>
        <w:keepNext/>
        <w:numPr>
          <w:ilvl w:val="0"/>
          <w:numId w:val="23"/>
        </w:numPr>
        <w:rPr>
          <w:color w:val="333333"/>
        </w:rPr>
      </w:pPr>
      <w:r w:rsidRPr="00A52752">
        <w:rPr>
          <w:b/>
          <w:color w:val="333333"/>
        </w:rPr>
        <w:t>International students</w:t>
      </w:r>
      <w:r>
        <w:rPr>
          <w:b/>
          <w:color w:val="333333"/>
        </w:rPr>
        <w:t xml:space="preserve"> or students </w:t>
      </w:r>
      <w:r w:rsidRPr="00A52752">
        <w:rPr>
          <w:color w:val="333333"/>
        </w:rPr>
        <w:t xml:space="preserve">are defined as </w:t>
      </w:r>
      <w:r>
        <w:rPr>
          <w:color w:val="333333"/>
        </w:rPr>
        <w:t xml:space="preserve">secondary school </w:t>
      </w:r>
      <w:r w:rsidRPr="00A52752">
        <w:rPr>
          <w:color w:val="333333"/>
        </w:rPr>
        <w:t xml:space="preserve">students participating in the ISP under a </w:t>
      </w:r>
      <w:r w:rsidRPr="0058700D">
        <w:rPr>
          <w:color w:val="333333"/>
        </w:rPr>
        <w:t xml:space="preserve">subclass 500 Student </w:t>
      </w:r>
      <w:r>
        <w:rPr>
          <w:color w:val="333333"/>
        </w:rPr>
        <w:t xml:space="preserve">– </w:t>
      </w:r>
      <w:r w:rsidRPr="0058700D">
        <w:rPr>
          <w:color w:val="333333"/>
        </w:rPr>
        <w:t xml:space="preserve">Schools visa. </w:t>
      </w:r>
    </w:p>
    <w:p w14:paraId="73DA39E5" w14:textId="1FE11F4C" w:rsidR="003650F6" w:rsidRPr="00F55C1B" w:rsidRDefault="003650F6" w:rsidP="003650F6">
      <w:pPr>
        <w:pStyle w:val="ListBullet"/>
        <w:numPr>
          <w:ilvl w:val="0"/>
          <w:numId w:val="23"/>
        </w:numPr>
      </w:pPr>
      <w:r w:rsidRPr="00BF2501">
        <w:rPr>
          <w:b/>
        </w:rPr>
        <w:t>School</w:t>
      </w:r>
      <w:r>
        <w:t xml:space="preserve"> for the purpose of this document is defined as </w:t>
      </w:r>
      <w:r w:rsidR="00474821">
        <w:t xml:space="preserve">the </w:t>
      </w:r>
      <w:r w:rsidR="009F07CD">
        <w:t xml:space="preserve">host school </w:t>
      </w:r>
      <w:r w:rsidR="00CD630D">
        <w:t>that is ESOS-</w:t>
      </w:r>
      <w:r>
        <w:t xml:space="preserve">accredited by </w:t>
      </w:r>
      <w:r w:rsidR="00FE4F71">
        <w:t>the department</w:t>
      </w:r>
      <w:r>
        <w:t xml:space="preserve"> to deliver </w:t>
      </w:r>
      <w:r w:rsidR="00CD630D">
        <w:t>the</w:t>
      </w:r>
      <w:r>
        <w:t xml:space="preserve"> ISP.</w:t>
      </w:r>
    </w:p>
    <w:p w14:paraId="5463CBEE" w14:textId="39AE5A1A" w:rsidR="00D9063F" w:rsidRPr="00AF0B00" w:rsidRDefault="00920011" w:rsidP="00D9063F">
      <w:pPr>
        <w:pStyle w:val="Heading2"/>
        <w:rPr>
          <w:color w:val="00BAC0"/>
        </w:rPr>
      </w:pPr>
      <w:r w:rsidRPr="00AF0B00">
        <w:rPr>
          <w:color w:val="00BAC0"/>
        </w:rPr>
        <w:t xml:space="preserve">Contact and maintenance </w:t>
      </w:r>
      <w:proofErr w:type="gramStart"/>
      <w:r w:rsidRPr="00AF0B00">
        <w:rPr>
          <w:color w:val="00BAC0"/>
        </w:rPr>
        <w:t>o</w:t>
      </w:r>
      <w:r w:rsidR="00D9063F" w:rsidRPr="00AF0B00">
        <w:rPr>
          <w:color w:val="00BAC0"/>
        </w:rPr>
        <w:t>fficer</w:t>
      </w:r>
      <w:proofErr w:type="gramEnd"/>
    </w:p>
    <w:p w14:paraId="139347E0" w14:textId="327594D9" w:rsidR="00D9063F" w:rsidRDefault="00B0287A" w:rsidP="005E7DE8">
      <w:pPr>
        <w:pStyle w:val="BodyText"/>
        <w:jc w:val="left"/>
        <w:rPr>
          <w:rFonts w:eastAsia="Calibri" w:cs="Arial"/>
        </w:rPr>
      </w:pPr>
      <w:r w:rsidRPr="00B0287A">
        <w:rPr>
          <w:rFonts w:eastAsia="Calibri" w:cs="Arial"/>
        </w:rPr>
        <w:t xml:space="preserve">Manager, </w:t>
      </w:r>
      <w:r>
        <w:rPr>
          <w:rFonts w:eastAsia="Calibri" w:cs="Arial"/>
        </w:rPr>
        <w:t>Strategy and Quality Assurance</w:t>
      </w:r>
      <w:r w:rsidRPr="00B0287A">
        <w:rPr>
          <w:rFonts w:eastAsia="Calibri" w:cs="Arial"/>
        </w:rPr>
        <w:t xml:space="preserve"> Unit</w:t>
      </w:r>
      <w:r>
        <w:rPr>
          <w:rFonts w:eastAsia="Calibri" w:cs="Arial"/>
        </w:rPr>
        <w:br/>
      </w:r>
      <w:r w:rsidRPr="00B0287A">
        <w:rPr>
          <w:rFonts w:eastAsia="Calibri" w:cs="Arial"/>
        </w:rPr>
        <w:t>International Education Division</w:t>
      </w:r>
      <w:r w:rsidR="005E7DE8">
        <w:rPr>
          <w:rFonts w:eastAsia="Calibri" w:cs="Arial"/>
        </w:rPr>
        <w:br/>
        <w:t>Email:</w:t>
      </w:r>
      <w:r w:rsidR="00EF1406" w:rsidRPr="00EF1406">
        <w:rPr>
          <w:rFonts w:eastAsia="Calibri" w:cs="Arial"/>
        </w:rPr>
        <w:t xml:space="preserve"> </w:t>
      </w:r>
      <w:hyperlink r:id="rId15" w:history="1">
        <w:r w:rsidR="00EF1406" w:rsidRPr="00EF1406">
          <w:rPr>
            <w:rStyle w:val="Hyperlink"/>
            <w:rFonts w:eastAsia="Calibri" w:cs="Arial"/>
            <w:color w:val="333333"/>
          </w:rPr>
          <w:t>isp.quality@education.vic.gov.au</w:t>
        </w:r>
      </w:hyperlink>
      <w:r w:rsidR="005E7DE8">
        <w:rPr>
          <w:rStyle w:val="Hyperlink"/>
          <w:rFonts w:eastAsia="Calibri" w:cs="Arial"/>
          <w:color w:val="333333"/>
        </w:rPr>
        <w:br/>
      </w:r>
      <w:r w:rsidR="005E7DE8" w:rsidRPr="005E7DE8">
        <w:rPr>
          <w:rFonts w:eastAsia="Calibri" w:cs="Arial"/>
        </w:rPr>
        <w:t>Phone: +61 3 7022 1000</w:t>
      </w:r>
    </w:p>
    <w:p w14:paraId="14390AC2" w14:textId="77777777" w:rsidR="00EE2E05" w:rsidRPr="00AF0B00" w:rsidRDefault="00EE2E05" w:rsidP="00EE2E05">
      <w:pPr>
        <w:pStyle w:val="Heading2"/>
        <w:numPr>
          <w:ilvl w:val="1"/>
          <w:numId w:val="30"/>
        </w:numPr>
        <w:shd w:val="clear" w:color="auto" w:fill="F2F2F2" w:themeFill="background1" w:themeFillShade="F2"/>
        <w:rPr>
          <w:color w:val="00BAC0"/>
        </w:rPr>
      </w:pPr>
      <w:r w:rsidRPr="00AF0B00">
        <w:rPr>
          <w:color w:val="00BAC0"/>
        </w:rPr>
        <w:t>Authorised</w:t>
      </w:r>
    </w:p>
    <w:p w14:paraId="38158D25" w14:textId="270D1A78" w:rsidR="00EE2E05" w:rsidRPr="00AD2439" w:rsidRDefault="009E6E18" w:rsidP="00EE2E05">
      <w:pPr>
        <w:pStyle w:val="Authorisationtext"/>
      </w:pPr>
      <w:r>
        <w:t xml:space="preserve">Executive </w:t>
      </w:r>
      <w:r w:rsidR="004B3DF8">
        <w:t xml:space="preserve">Director, </w:t>
      </w:r>
      <w:r>
        <w:t>International Education Division</w:t>
      </w:r>
    </w:p>
    <w:p w14:paraId="511C5E14" w14:textId="77777777" w:rsidR="00EE2E05" w:rsidRPr="00AD2439" w:rsidRDefault="00EE2E05" w:rsidP="00EE2E05">
      <w:pPr>
        <w:pStyle w:val="Authorisationtext"/>
      </w:pPr>
    </w:p>
    <w:p w14:paraId="4851FA3C" w14:textId="7FC61F04" w:rsidR="00EE2E05" w:rsidRPr="00AD2439" w:rsidRDefault="00EE2E05" w:rsidP="00EE2E05">
      <w:pPr>
        <w:pStyle w:val="Authorisationtext"/>
        <w:tabs>
          <w:tab w:val="left" w:pos="1985"/>
        </w:tabs>
      </w:pPr>
      <w:r w:rsidRPr="000942B0">
        <w:rPr>
          <w:b/>
        </w:rPr>
        <w:t>Date of authorisation</w:t>
      </w:r>
      <w:r w:rsidRPr="00AD2439">
        <w:t>:</w:t>
      </w:r>
      <w:r w:rsidRPr="00AD2439">
        <w:tab/>
      </w:r>
      <w:r w:rsidR="00DD7C09" w:rsidRPr="00375B28">
        <w:t>07</w:t>
      </w:r>
      <w:r w:rsidRPr="00AD2439">
        <w:t>/</w:t>
      </w:r>
      <w:r w:rsidR="00662624">
        <w:t>06</w:t>
      </w:r>
      <w:r w:rsidRPr="00AD2439">
        <w:t>/20</w:t>
      </w:r>
      <w:r w:rsidR="006E6C05">
        <w:t>2</w:t>
      </w:r>
      <w:r w:rsidR="004A4B0B">
        <w:t>3</w:t>
      </w:r>
    </w:p>
    <w:p w14:paraId="0BF9A8E4" w14:textId="2C27E3F0" w:rsidR="00EE2E05" w:rsidRPr="00AD2439" w:rsidRDefault="00EE2E05" w:rsidP="006F67E9">
      <w:pPr>
        <w:pStyle w:val="Authorisationtext"/>
        <w:tabs>
          <w:tab w:val="left" w:pos="1985"/>
        </w:tabs>
        <w:ind w:left="1985" w:hanging="1985"/>
      </w:pPr>
      <w:r w:rsidRPr="000942B0">
        <w:rPr>
          <w:b/>
        </w:rPr>
        <w:t>Review frequency</w:t>
      </w:r>
      <w:r w:rsidRPr="00AD2439">
        <w:t xml:space="preserve">: </w:t>
      </w:r>
      <w:r w:rsidRPr="00AD2439">
        <w:tab/>
        <w:t xml:space="preserve">This </w:t>
      </w:r>
      <w:r w:rsidR="003265C1">
        <w:t>policy</w:t>
      </w:r>
      <w:r>
        <w:t xml:space="preserve"> </w:t>
      </w:r>
      <w:r w:rsidRPr="00AD2439">
        <w:t xml:space="preserve">will be reviewed at minimum </w:t>
      </w:r>
      <w:r w:rsidR="00B507FD">
        <w:t>every three years</w:t>
      </w:r>
      <w:r w:rsidR="006F67E9">
        <w:t xml:space="preserve"> in conjunction with renewal of the associated MOU</w:t>
      </w:r>
      <w:r w:rsidR="00B507FD">
        <w:t xml:space="preserve">, </w:t>
      </w:r>
      <w:r w:rsidRPr="00AD2439">
        <w:t>or when any changes arise impacting its currency, including legislative or regulation change.</w:t>
      </w:r>
    </w:p>
    <w:bookmarkEnd w:id="0"/>
    <w:bookmarkEnd w:id="1"/>
    <w:p w14:paraId="7FF4F1F2" w14:textId="77777777" w:rsidR="00D9063F" w:rsidRDefault="00D9063F" w:rsidP="00D9063F">
      <w:pPr>
        <w:pStyle w:val="BodyText"/>
      </w:pPr>
    </w:p>
    <w:sectPr w:rsidR="00D9063F" w:rsidSect="00DF3389">
      <w:footerReference w:type="default" r:id="rId16"/>
      <w:headerReference w:type="first" r:id="rId17"/>
      <w:footerReference w:type="first" r:id="rId18"/>
      <w:type w:val="continuous"/>
      <w:pgSz w:w="11900" w:h="16840" w:code="9"/>
      <w:pgMar w:top="720" w:right="720" w:bottom="720" w:left="720" w:header="56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B02" w14:textId="77777777" w:rsidR="009F55DD" w:rsidRDefault="009F55DD">
      <w:pPr>
        <w:spacing w:line="240" w:lineRule="auto"/>
      </w:pPr>
      <w:r>
        <w:separator/>
      </w:r>
    </w:p>
  </w:endnote>
  <w:endnote w:type="continuationSeparator" w:id="0">
    <w:p w14:paraId="19766770" w14:textId="77777777" w:rsidR="009F55DD" w:rsidRDefault="009F55DD">
      <w:pPr>
        <w:spacing w:line="240" w:lineRule="auto"/>
      </w:pPr>
      <w:r>
        <w:continuationSeparator/>
      </w:r>
    </w:p>
  </w:endnote>
  <w:endnote w:type="continuationNotice" w:id="1">
    <w:p w14:paraId="184F6F9F" w14:textId="77777777" w:rsidR="006845A1" w:rsidRDefault="00684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C82" w14:textId="0F6AEAF6" w:rsidR="00394CF6" w:rsidRPr="00394CF6" w:rsidRDefault="00394CF6" w:rsidP="00394CF6">
    <w:pPr>
      <w:pStyle w:val="Header"/>
      <w:rPr>
        <w:rFonts w:cs="Arial"/>
        <w:color w:val="7F7F7F" w:themeColor="text1" w:themeTint="80"/>
        <w:sz w:val="16"/>
        <w:szCs w:val="16"/>
      </w:rPr>
    </w:pPr>
  </w:p>
  <w:p w14:paraId="466D33C2" w14:textId="74CA1E6B" w:rsidR="00394CF6" w:rsidRPr="00437D5A" w:rsidRDefault="00394CF6" w:rsidP="00437D5A">
    <w:pPr>
      <w:pStyle w:val="Footer"/>
      <w:tabs>
        <w:tab w:val="clear" w:pos="10348"/>
        <w:tab w:val="right" w:pos="10460"/>
      </w:tabs>
    </w:pPr>
    <w:r w:rsidRPr="00437D5A">
      <w:t xml:space="preserve">CRICOS </w:t>
    </w:r>
    <w:r w:rsidR="000838B1">
      <w:t>p</w:t>
    </w:r>
    <w:r w:rsidRPr="00437D5A">
      <w:t xml:space="preserve">rovider </w:t>
    </w:r>
    <w:r w:rsidR="000838B1">
      <w:t>n</w:t>
    </w:r>
    <w:r w:rsidR="007222DB">
      <w:t xml:space="preserve">ame </w:t>
    </w:r>
    <w:r w:rsidRPr="00437D5A">
      <w:t xml:space="preserve">and </w:t>
    </w:r>
    <w:r w:rsidR="000838B1">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931B08">
      <w:rPr>
        <w:noProof/>
      </w:rPr>
      <w:t>2</w:t>
    </w:r>
    <w:r w:rsidRPr="00437D5A">
      <w:fldChar w:fldCharType="end"/>
    </w:r>
    <w:r w:rsidRPr="00437D5A">
      <w:t xml:space="preserve"> of </w:t>
    </w:r>
    <w:r w:rsidR="002C260B">
      <w:fldChar w:fldCharType="begin"/>
    </w:r>
    <w:r w:rsidR="002C260B">
      <w:instrText xml:space="preserve"> NUMPAGES  \* Arabic  \* MERGEFORMAT </w:instrText>
    </w:r>
    <w:r w:rsidR="002C260B">
      <w:fldChar w:fldCharType="separate"/>
    </w:r>
    <w:r w:rsidR="00931B08">
      <w:rPr>
        <w:noProof/>
      </w:rPr>
      <w:t>3</w:t>
    </w:r>
    <w:r w:rsidR="002C260B">
      <w:rPr>
        <w:noProof/>
      </w:rPr>
      <w:fldChar w:fldCharType="end"/>
    </w:r>
  </w:p>
  <w:p w14:paraId="0676BD42" w14:textId="78608A27" w:rsidR="004B0A85" w:rsidRPr="00437D5A" w:rsidRDefault="0034725A" w:rsidP="00437D5A">
    <w:pPr>
      <w:pStyle w:val="Footer"/>
      <w:tabs>
        <w:tab w:val="clear" w:pos="10348"/>
        <w:tab w:val="right" w:pos="10460"/>
      </w:tabs>
    </w:pPr>
    <w:r>
      <w:t>Copyright State of Victoria 202</w:t>
    </w:r>
    <w:r w:rsidR="000838B1">
      <w:t>3</w:t>
    </w:r>
    <w:r>
      <w:tab/>
    </w:r>
    <w:r>
      <w:tab/>
      <w:t xml:space="preserve">Version </w:t>
    </w:r>
    <w:r w:rsidR="00EF1406">
      <w:t>1.0</w:t>
    </w:r>
    <w:r w:rsidR="004B3DF8">
      <w:t xml:space="preserve"> as of </w:t>
    </w:r>
    <w:r w:rsidR="00210F2C">
      <w:t>11 August</w:t>
    </w:r>
    <w:r w:rsidR="004B3DF8">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88A9" w14:textId="1B57A84E" w:rsidR="003D6FFB" w:rsidRDefault="003D6FFB" w:rsidP="00B87A64">
    <w:pPr>
      <w:pStyle w:val="Footer"/>
      <w:pBdr>
        <w:top w:val="none" w:sz="0" w:space="0" w:color="auto"/>
      </w:pBdr>
    </w:pPr>
  </w:p>
  <w:p w14:paraId="2EB40A6C" w14:textId="6F79FA22" w:rsidR="00AC0148" w:rsidRPr="00394CF6" w:rsidRDefault="00DF3389" w:rsidP="00DF3389">
    <w:pPr>
      <w:pStyle w:val="Footer"/>
      <w:pBdr>
        <w:top w:val="none" w:sz="0" w:space="0" w:color="auto"/>
      </w:pBdr>
    </w:pPr>
    <w:r>
      <w:rPr>
        <w:noProof/>
      </w:rPr>
      <w:drawing>
        <wp:inline distT="0" distB="0" distL="0" distR="0" wp14:anchorId="581CF2E4" wp14:editId="5C582458">
          <wp:extent cx="6624687" cy="7880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D550" w14:textId="77777777" w:rsidR="009F55DD" w:rsidRDefault="009F55DD">
      <w:pPr>
        <w:spacing w:line="240" w:lineRule="auto"/>
      </w:pPr>
      <w:r>
        <w:separator/>
      </w:r>
    </w:p>
  </w:footnote>
  <w:footnote w:type="continuationSeparator" w:id="0">
    <w:p w14:paraId="0B79DB97" w14:textId="77777777" w:rsidR="009F55DD" w:rsidRDefault="009F55DD">
      <w:pPr>
        <w:spacing w:line="240" w:lineRule="auto"/>
      </w:pPr>
      <w:r>
        <w:continuationSeparator/>
      </w:r>
    </w:p>
  </w:footnote>
  <w:footnote w:type="continuationNotice" w:id="1">
    <w:p w14:paraId="16CB22A3" w14:textId="77777777" w:rsidR="006845A1" w:rsidRDefault="00684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6ECF16D4" w:rsidR="00AC0148" w:rsidRPr="00B367E9" w:rsidRDefault="00FF066D" w:rsidP="006E06A7">
    <w:pPr>
      <w:pStyle w:val="Header"/>
    </w:pPr>
    <w:r>
      <w:rPr>
        <w:noProof/>
        <w:lang w:eastAsia="en-AU"/>
      </w:rPr>
      <w:drawing>
        <wp:anchor distT="0" distB="0" distL="114300" distR="114300" simplePos="0" relativeHeight="251658240" behindDoc="0" locked="0" layoutInCell="1" allowOverlap="1" wp14:anchorId="19ABAE04" wp14:editId="47199DDF">
          <wp:simplePos x="0" y="0"/>
          <wp:positionH relativeFrom="page">
            <wp:align>left</wp:align>
          </wp:positionH>
          <wp:positionV relativeFrom="paragraph">
            <wp:posOffset>-361950</wp:posOffset>
          </wp:positionV>
          <wp:extent cx="7664654" cy="13932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40F1F"/>
    <w:multiLevelType w:val="hybridMultilevel"/>
    <w:tmpl w:val="AC10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2427537"/>
    <w:multiLevelType w:val="hybridMultilevel"/>
    <w:tmpl w:val="25D01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D548D1"/>
    <w:multiLevelType w:val="hybridMultilevel"/>
    <w:tmpl w:val="5ED22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37DC4314"/>
    <w:multiLevelType w:val="multilevel"/>
    <w:tmpl w:val="2C38BA9C"/>
    <w:numStyleLink w:val="BASTCoPList"/>
  </w:abstractNum>
  <w:abstractNum w:abstractNumId="20"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1"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50882"/>
    <w:multiLevelType w:val="hybridMultilevel"/>
    <w:tmpl w:val="1C36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74510BD2"/>
    <w:multiLevelType w:val="hybridMultilevel"/>
    <w:tmpl w:val="C34CADB8"/>
    <w:lvl w:ilvl="0" w:tplc="9EACB994">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789840BF"/>
    <w:multiLevelType w:val="hybridMultilevel"/>
    <w:tmpl w:val="1B145212"/>
    <w:lvl w:ilvl="0" w:tplc="9EACB994">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39409A"/>
    <w:multiLevelType w:val="multilevel"/>
    <w:tmpl w:val="AC70F576"/>
    <w:numStyleLink w:val="BulletList"/>
  </w:abstractNum>
  <w:num w:numId="1" w16cid:durableId="408621499">
    <w:abstractNumId w:val="9"/>
  </w:num>
  <w:num w:numId="2" w16cid:durableId="1227377208">
    <w:abstractNumId w:val="7"/>
  </w:num>
  <w:num w:numId="3" w16cid:durableId="234510148">
    <w:abstractNumId w:val="6"/>
  </w:num>
  <w:num w:numId="4" w16cid:durableId="1876304936">
    <w:abstractNumId w:val="5"/>
  </w:num>
  <w:num w:numId="5" w16cid:durableId="76221040">
    <w:abstractNumId w:val="4"/>
  </w:num>
  <w:num w:numId="6" w16cid:durableId="1193105545">
    <w:abstractNumId w:val="8"/>
  </w:num>
  <w:num w:numId="7" w16cid:durableId="352414558">
    <w:abstractNumId w:val="3"/>
  </w:num>
  <w:num w:numId="8" w16cid:durableId="1269971811">
    <w:abstractNumId w:val="2"/>
  </w:num>
  <w:num w:numId="9" w16cid:durableId="790130383">
    <w:abstractNumId w:val="1"/>
  </w:num>
  <w:num w:numId="10" w16cid:durableId="2000189087">
    <w:abstractNumId w:val="0"/>
  </w:num>
  <w:num w:numId="11" w16cid:durableId="257445225">
    <w:abstractNumId w:val="21"/>
  </w:num>
  <w:num w:numId="12" w16cid:durableId="984748270">
    <w:abstractNumId w:val="22"/>
  </w:num>
  <w:num w:numId="13" w16cid:durableId="2135709715">
    <w:abstractNumId w:val="23"/>
  </w:num>
  <w:num w:numId="14" w16cid:durableId="1376157522">
    <w:abstractNumId w:val="27"/>
  </w:num>
  <w:num w:numId="15" w16cid:durableId="49618818">
    <w:abstractNumId w:val="31"/>
  </w:num>
  <w:num w:numId="16" w16cid:durableId="1491217277">
    <w:abstractNumId w:val="28"/>
  </w:num>
  <w:num w:numId="17" w16cid:durableId="1078483349">
    <w:abstractNumId w:val="26"/>
  </w:num>
  <w:num w:numId="18" w16cid:durableId="1317535939">
    <w:abstractNumId w:val="11"/>
  </w:num>
  <w:num w:numId="19" w16cid:durableId="776869645">
    <w:abstractNumId w:val="24"/>
  </w:num>
  <w:num w:numId="20" w16cid:durableId="829520359">
    <w:abstractNumId w:val="17"/>
  </w:num>
  <w:num w:numId="21" w16cid:durableId="1991640947">
    <w:abstractNumId w:val="18"/>
  </w:num>
  <w:num w:numId="22" w16cid:durableId="1245264274">
    <w:abstractNumId w:val="13"/>
  </w:num>
  <w:num w:numId="23" w16cid:durableId="1461461529">
    <w:abstractNumId w:val="32"/>
  </w:num>
  <w:num w:numId="24" w16cid:durableId="1637569756">
    <w:abstractNumId w:val="32"/>
  </w:num>
  <w:num w:numId="25" w16cid:durableId="1186211755">
    <w:abstractNumId w:val="32"/>
  </w:num>
  <w:num w:numId="26" w16cid:durableId="971524739">
    <w:abstractNumId w:val="10"/>
  </w:num>
  <w:num w:numId="27" w16cid:durableId="1685472816">
    <w:abstractNumId w:val="17"/>
  </w:num>
  <w:num w:numId="28" w16cid:durableId="1634365476">
    <w:abstractNumId w:val="18"/>
  </w:num>
  <w:num w:numId="29" w16cid:durableId="1896502891">
    <w:abstractNumId w:val="13"/>
  </w:num>
  <w:num w:numId="30" w16cid:durableId="688222005">
    <w:abstractNumId w:val="19"/>
  </w:num>
  <w:num w:numId="31" w16cid:durableId="1978560520">
    <w:abstractNumId w:val="19"/>
  </w:num>
  <w:num w:numId="32" w16cid:durableId="864362807">
    <w:abstractNumId w:val="19"/>
  </w:num>
  <w:num w:numId="33" w16cid:durableId="881864690">
    <w:abstractNumId w:val="32"/>
  </w:num>
  <w:num w:numId="34" w16cid:durableId="1595161739">
    <w:abstractNumId w:val="32"/>
  </w:num>
  <w:num w:numId="35" w16cid:durableId="1350521163">
    <w:abstractNumId w:val="32"/>
  </w:num>
  <w:num w:numId="36" w16cid:durableId="1255363371">
    <w:abstractNumId w:val="16"/>
  </w:num>
  <w:num w:numId="37" w16cid:durableId="1258904391">
    <w:abstractNumId w:val="16"/>
  </w:num>
  <w:num w:numId="38" w16cid:durableId="35544204">
    <w:abstractNumId w:val="20"/>
  </w:num>
  <w:num w:numId="39" w16cid:durableId="1179392639">
    <w:abstractNumId w:val="16"/>
  </w:num>
  <w:num w:numId="40" w16cid:durableId="1388410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8358626">
    <w:abstractNumId w:val="29"/>
  </w:num>
  <w:num w:numId="42" w16cid:durableId="631716024">
    <w:abstractNumId w:val="30"/>
  </w:num>
  <w:num w:numId="43" w16cid:durableId="873273632">
    <w:abstractNumId w:val="15"/>
  </w:num>
  <w:num w:numId="44" w16cid:durableId="1749115275">
    <w:abstractNumId w:val="25"/>
  </w:num>
  <w:num w:numId="45" w16cid:durableId="362749480">
    <w:abstractNumId w:val="12"/>
  </w:num>
  <w:num w:numId="46" w16cid:durableId="421337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trackRevisions/>
  <w:defaultTabStop w:val="720"/>
  <w:drawingGridHorizontalSpacing w:val="181"/>
  <w:drawingGridVerticalSpacing w:val="181"/>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64B9"/>
    <w:rsid w:val="00015E89"/>
    <w:rsid w:val="00027634"/>
    <w:rsid w:val="00036E02"/>
    <w:rsid w:val="00056CB3"/>
    <w:rsid w:val="000602DD"/>
    <w:rsid w:val="00061B74"/>
    <w:rsid w:val="00066D28"/>
    <w:rsid w:val="0006740D"/>
    <w:rsid w:val="00072E91"/>
    <w:rsid w:val="0007427E"/>
    <w:rsid w:val="000831B3"/>
    <w:rsid w:val="000838B1"/>
    <w:rsid w:val="00096B27"/>
    <w:rsid w:val="000A703A"/>
    <w:rsid w:val="000C1B1C"/>
    <w:rsid w:val="000C2E7D"/>
    <w:rsid w:val="000C7F59"/>
    <w:rsid w:val="000D10CA"/>
    <w:rsid w:val="000D485E"/>
    <w:rsid w:val="000D50FB"/>
    <w:rsid w:val="000E462B"/>
    <w:rsid w:val="000E6AB2"/>
    <w:rsid w:val="001024D6"/>
    <w:rsid w:val="00103E93"/>
    <w:rsid w:val="001112B8"/>
    <w:rsid w:val="001251B9"/>
    <w:rsid w:val="0012684A"/>
    <w:rsid w:val="00144386"/>
    <w:rsid w:val="0014588F"/>
    <w:rsid w:val="00155165"/>
    <w:rsid w:val="00160255"/>
    <w:rsid w:val="00176C75"/>
    <w:rsid w:val="00177F25"/>
    <w:rsid w:val="00180292"/>
    <w:rsid w:val="001A53D7"/>
    <w:rsid w:val="001B0587"/>
    <w:rsid w:val="001E0A88"/>
    <w:rsid w:val="001E3684"/>
    <w:rsid w:val="001E6D13"/>
    <w:rsid w:val="001E6D14"/>
    <w:rsid w:val="001E747E"/>
    <w:rsid w:val="001F6E93"/>
    <w:rsid w:val="0020201E"/>
    <w:rsid w:val="00203E4B"/>
    <w:rsid w:val="00204608"/>
    <w:rsid w:val="0020669E"/>
    <w:rsid w:val="00210F2C"/>
    <w:rsid w:val="00214FCE"/>
    <w:rsid w:val="00222B2A"/>
    <w:rsid w:val="002271C7"/>
    <w:rsid w:val="00252651"/>
    <w:rsid w:val="0026270D"/>
    <w:rsid w:val="002862DE"/>
    <w:rsid w:val="002869FA"/>
    <w:rsid w:val="002878AA"/>
    <w:rsid w:val="002933DC"/>
    <w:rsid w:val="00294E5A"/>
    <w:rsid w:val="002952DE"/>
    <w:rsid w:val="002A3D1F"/>
    <w:rsid w:val="002A4120"/>
    <w:rsid w:val="002B59C6"/>
    <w:rsid w:val="002C260B"/>
    <w:rsid w:val="002C3C1B"/>
    <w:rsid w:val="002C6F20"/>
    <w:rsid w:val="002D198E"/>
    <w:rsid w:val="002D2ED8"/>
    <w:rsid w:val="002D4F9B"/>
    <w:rsid w:val="002F1195"/>
    <w:rsid w:val="00302C15"/>
    <w:rsid w:val="0030784C"/>
    <w:rsid w:val="003138DE"/>
    <w:rsid w:val="003202B2"/>
    <w:rsid w:val="00325B59"/>
    <w:rsid w:val="003265C1"/>
    <w:rsid w:val="003324F0"/>
    <w:rsid w:val="00332671"/>
    <w:rsid w:val="003377B0"/>
    <w:rsid w:val="0034725A"/>
    <w:rsid w:val="003500E7"/>
    <w:rsid w:val="00351A0A"/>
    <w:rsid w:val="003540EA"/>
    <w:rsid w:val="003650F6"/>
    <w:rsid w:val="00375B28"/>
    <w:rsid w:val="00394CF6"/>
    <w:rsid w:val="003A7F9A"/>
    <w:rsid w:val="003B4683"/>
    <w:rsid w:val="003B6520"/>
    <w:rsid w:val="003C3830"/>
    <w:rsid w:val="003C54CB"/>
    <w:rsid w:val="003D6FFB"/>
    <w:rsid w:val="003D7701"/>
    <w:rsid w:val="003E3933"/>
    <w:rsid w:val="003E5D1D"/>
    <w:rsid w:val="003F3CDE"/>
    <w:rsid w:val="004068E7"/>
    <w:rsid w:val="00410C4D"/>
    <w:rsid w:val="004119CC"/>
    <w:rsid w:val="00426EFB"/>
    <w:rsid w:val="004323F9"/>
    <w:rsid w:val="00436096"/>
    <w:rsid w:val="00437D5A"/>
    <w:rsid w:val="00444332"/>
    <w:rsid w:val="00445E5B"/>
    <w:rsid w:val="00453E4F"/>
    <w:rsid w:val="00457DF2"/>
    <w:rsid w:val="00470FFB"/>
    <w:rsid w:val="00474821"/>
    <w:rsid w:val="00475875"/>
    <w:rsid w:val="00487E5A"/>
    <w:rsid w:val="00494657"/>
    <w:rsid w:val="0049629A"/>
    <w:rsid w:val="004A01DC"/>
    <w:rsid w:val="004A0E33"/>
    <w:rsid w:val="004A4A61"/>
    <w:rsid w:val="004A4B0B"/>
    <w:rsid w:val="004A707E"/>
    <w:rsid w:val="004B0A85"/>
    <w:rsid w:val="004B0E7A"/>
    <w:rsid w:val="004B3DF8"/>
    <w:rsid w:val="004B4062"/>
    <w:rsid w:val="004C27D6"/>
    <w:rsid w:val="004C373C"/>
    <w:rsid w:val="004D488E"/>
    <w:rsid w:val="004D5F45"/>
    <w:rsid w:val="004D7763"/>
    <w:rsid w:val="004E1BC5"/>
    <w:rsid w:val="004E35CE"/>
    <w:rsid w:val="004E4038"/>
    <w:rsid w:val="004E409F"/>
    <w:rsid w:val="004E64B9"/>
    <w:rsid w:val="004E7950"/>
    <w:rsid w:val="004F747C"/>
    <w:rsid w:val="004F77FB"/>
    <w:rsid w:val="00500A4C"/>
    <w:rsid w:val="0050560C"/>
    <w:rsid w:val="00511FF4"/>
    <w:rsid w:val="005220CD"/>
    <w:rsid w:val="00524E62"/>
    <w:rsid w:val="005306FA"/>
    <w:rsid w:val="005328E6"/>
    <w:rsid w:val="00532CD2"/>
    <w:rsid w:val="00534D96"/>
    <w:rsid w:val="00541719"/>
    <w:rsid w:val="00543CAA"/>
    <w:rsid w:val="00550BCC"/>
    <w:rsid w:val="00550F53"/>
    <w:rsid w:val="00553621"/>
    <w:rsid w:val="005566E9"/>
    <w:rsid w:val="0056185C"/>
    <w:rsid w:val="00564A1B"/>
    <w:rsid w:val="00576660"/>
    <w:rsid w:val="00577DE8"/>
    <w:rsid w:val="0058165A"/>
    <w:rsid w:val="0058294C"/>
    <w:rsid w:val="0058380F"/>
    <w:rsid w:val="00584487"/>
    <w:rsid w:val="00587F9C"/>
    <w:rsid w:val="0059509E"/>
    <w:rsid w:val="00596941"/>
    <w:rsid w:val="005B5E1A"/>
    <w:rsid w:val="005E23FA"/>
    <w:rsid w:val="005E7DE8"/>
    <w:rsid w:val="005F0F66"/>
    <w:rsid w:val="005F586F"/>
    <w:rsid w:val="005F7132"/>
    <w:rsid w:val="006056A5"/>
    <w:rsid w:val="00613644"/>
    <w:rsid w:val="00620C90"/>
    <w:rsid w:val="00623011"/>
    <w:rsid w:val="006262A8"/>
    <w:rsid w:val="0062740F"/>
    <w:rsid w:val="00630F76"/>
    <w:rsid w:val="00632D04"/>
    <w:rsid w:val="006359BE"/>
    <w:rsid w:val="00637352"/>
    <w:rsid w:val="00640B19"/>
    <w:rsid w:val="00647B54"/>
    <w:rsid w:val="00651662"/>
    <w:rsid w:val="00653ED4"/>
    <w:rsid w:val="0066177B"/>
    <w:rsid w:val="00662624"/>
    <w:rsid w:val="006729DC"/>
    <w:rsid w:val="00673271"/>
    <w:rsid w:val="006845A1"/>
    <w:rsid w:val="006917FD"/>
    <w:rsid w:val="00696162"/>
    <w:rsid w:val="006A3271"/>
    <w:rsid w:val="006A6239"/>
    <w:rsid w:val="006A699F"/>
    <w:rsid w:val="006A74C8"/>
    <w:rsid w:val="006C11AE"/>
    <w:rsid w:val="006C1D99"/>
    <w:rsid w:val="006C38F6"/>
    <w:rsid w:val="006D54F9"/>
    <w:rsid w:val="006E06A7"/>
    <w:rsid w:val="006E4661"/>
    <w:rsid w:val="006E6C05"/>
    <w:rsid w:val="006E6D04"/>
    <w:rsid w:val="006F67E9"/>
    <w:rsid w:val="006F7286"/>
    <w:rsid w:val="00710BEF"/>
    <w:rsid w:val="00714724"/>
    <w:rsid w:val="007176D9"/>
    <w:rsid w:val="007222DB"/>
    <w:rsid w:val="00733E5D"/>
    <w:rsid w:val="00736043"/>
    <w:rsid w:val="00741521"/>
    <w:rsid w:val="007479AC"/>
    <w:rsid w:val="00776A5B"/>
    <w:rsid w:val="00780DAA"/>
    <w:rsid w:val="00785033"/>
    <w:rsid w:val="00785381"/>
    <w:rsid w:val="00796555"/>
    <w:rsid w:val="007A184C"/>
    <w:rsid w:val="007A7745"/>
    <w:rsid w:val="007C1F2E"/>
    <w:rsid w:val="007C2448"/>
    <w:rsid w:val="007D2EC9"/>
    <w:rsid w:val="007D33F9"/>
    <w:rsid w:val="007E5D46"/>
    <w:rsid w:val="007E5F88"/>
    <w:rsid w:val="007E70B3"/>
    <w:rsid w:val="007F35FF"/>
    <w:rsid w:val="007F39A5"/>
    <w:rsid w:val="007F64A5"/>
    <w:rsid w:val="008019C2"/>
    <w:rsid w:val="00803AA9"/>
    <w:rsid w:val="008119A7"/>
    <w:rsid w:val="00824774"/>
    <w:rsid w:val="00835CA4"/>
    <w:rsid w:val="00842964"/>
    <w:rsid w:val="00851660"/>
    <w:rsid w:val="00851C86"/>
    <w:rsid w:val="00862CAC"/>
    <w:rsid w:val="00876A89"/>
    <w:rsid w:val="00881804"/>
    <w:rsid w:val="00894D36"/>
    <w:rsid w:val="00895ED0"/>
    <w:rsid w:val="008B519E"/>
    <w:rsid w:val="008D0BF1"/>
    <w:rsid w:val="008D127E"/>
    <w:rsid w:val="008D19D9"/>
    <w:rsid w:val="008F07BA"/>
    <w:rsid w:val="00900B38"/>
    <w:rsid w:val="00902912"/>
    <w:rsid w:val="009032B6"/>
    <w:rsid w:val="00903707"/>
    <w:rsid w:val="00906501"/>
    <w:rsid w:val="00906A8B"/>
    <w:rsid w:val="0091104F"/>
    <w:rsid w:val="00913093"/>
    <w:rsid w:val="00913390"/>
    <w:rsid w:val="00920011"/>
    <w:rsid w:val="00923E06"/>
    <w:rsid w:val="00926502"/>
    <w:rsid w:val="00931B08"/>
    <w:rsid w:val="0094352B"/>
    <w:rsid w:val="00950232"/>
    <w:rsid w:val="00951C39"/>
    <w:rsid w:val="0097557C"/>
    <w:rsid w:val="00976895"/>
    <w:rsid w:val="00991EA5"/>
    <w:rsid w:val="00995C4B"/>
    <w:rsid w:val="009A0D75"/>
    <w:rsid w:val="009B33BC"/>
    <w:rsid w:val="009B6DFB"/>
    <w:rsid w:val="009B7ACE"/>
    <w:rsid w:val="009D1FB1"/>
    <w:rsid w:val="009E4AE6"/>
    <w:rsid w:val="009E6E18"/>
    <w:rsid w:val="009E6F19"/>
    <w:rsid w:val="009F07CD"/>
    <w:rsid w:val="009F55DD"/>
    <w:rsid w:val="00A00D32"/>
    <w:rsid w:val="00A10C0C"/>
    <w:rsid w:val="00A17B46"/>
    <w:rsid w:val="00A41D10"/>
    <w:rsid w:val="00A575FA"/>
    <w:rsid w:val="00A67FAE"/>
    <w:rsid w:val="00A77BD3"/>
    <w:rsid w:val="00A849A5"/>
    <w:rsid w:val="00A908EC"/>
    <w:rsid w:val="00A91E55"/>
    <w:rsid w:val="00A9695E"/>
    <w:rsid w:val="00AA0068"/>
    <w:rsid w:val="00AA211D"/>
    <w:rsid w:val="00AA45E8"/>
    <w:rsid w:val="00AA7FE1"/>
    <w:rsid w:val="00AC0148"/>
    <w:rsid w:val="00AE7D41"/>
    <w:rsid w:val="00AF0B00"/>
    <w:rsid w:val="00AF613B"/>
    <w:rsid w:val="00AF7EE7"/>
    <w:rsid w:val="00B0180D"/>
    <w:rsid w:val="00B0287A"/>
    <w:rsid w:val="00B11A6E"/>
    <w:rsid w:val="00B15603"/>
    <w:rsid w:val="00B1685C"/>
    <w:rsid w:val="00B2210B"/>
    <w:rsid w:val="00B26AC1"/>
    <w:rsid w:val="00B2760E"/>
    <w:rsid w:val="00B32E5D"/>
    <w:rsid w:val="00B367E9"/>
    <w:rsid w:val="00B40B7F"/>
    <w:rsid w:val="00B45000"/>
    <w:rsid w:val="00B45E2B"/>
    <w:rsid w:val="00B507FD"/>
    <w:rsid w:val="00B62558"/>
    <w:rsid w:val="00B662D4"/>
    <w:rsid w:val="00B7000D"/>
    <w:rsid w:val="00B76A8A"/>
    <w:rsid w:val="00B855B7"/>
    <w:rsid w:val="00B87A64"/>
    <w:rsid w:val="00B91F62"/>
    <w:rsid w:val="00B95489"/>
    <w:rsid w:val="00B9614F"/>
    <w:rsid w:val="00BC16A3"/>
    <w:rsid w:val="00BD3DC3"/>
    <w:rsid w:val="00BD44B5"/>
    <w:rsid w:val="00BE6D54"/>
    <w:rsid w:val="00C003B6"/>
    <w:rsid w:val="00C00693"/>
    <w:rsid w:val="00C00FE4"/>
    <w:rsid w:val="00C029ED"/>
    <w:rsid w:val="00C05D6A"/>
    <w:rsid w:val="00C07550"/>
    <w:rsid w:val="00C10CBA"/>
    <w:rsid w:val="00C14CDC"/>
    <w:rsid w:val="00C36074"/>
    <w:rsid w:val="00C41D09"/>
    <w:rsid w:val="00C42D13"/>
    <w:rsid w:val="00C63868"/>
    <w:rsid w:val="00C646FC"/>
    <w:rsid w:val="00C65580"/>
    <w:rsid w:val="00C741F3"/>
    <w:rsid w:val="00C76DEA"/>
    <w:rsid w:val="00C8604B"/>
    <w:rsid w:val="00C86EB2"/>
    <w:rsid w:val="00C87204"/>
    <w:rsid w:val="00C90AA5"/>
    <w:rsid w:val="00CA2075"/>
    <w:rsid w:val="00CA3F4F"/>
    <w:rsid w:val="00CA587F"/>
    <w:rsid w:val="00CA7FEC"/>
    <w:rsid w:val="00CB18BC"/>
    <w:rsid w:val="00CB37F6"/>
    <w:rsid w:val="00CB70C3"/>
    <w:rsid w:val="00CD630D"/>
    <w:rsid w:val="00CE5190"/>
    <w:rsid w:val="00CF1D25"/>
    <w:rsid w:val="00D00425"/>
    <w:rsid w:val="00D01D2A"/>
    <w:rsid w:val="00D053E8"/>
    <w:rsid w:val="00D12FE3"/>
    <w:rsid w:val="00D20296"/>
    <w:rsid w:val="00D253DB"/>
    <w:rsid w:val="00D420DC"/>
    <w:rsid w:val="00D43386"/>
    <w:rsid w:val="00D45DD8"/>
    <w:rsid w:val="00D46B73"/>
    <w:rsid w:val="00D473A9"/>
    <w:rsid w:val="00D607B7"/>
    <w:rsid w:val="00D656F8"/>
    <w:rsid w:val="00D67213"/>
    <w:rsid w:val="00D67FF1"/>
    <w:rsid w:val="00D706BD"/>
    <w:rsid w:val="00D7190D"/>
    <w:rsid w:val="00D723FB"/>
    <w:rsid w:val="00D811AA"/>
    <w:rsid w:val="00D8188C"/>
    <w:rsid w:val="00D9063F"/>
    <w:rsid w:val="00D90E51"/>
    <w:rsid w:val="00D919EF"/>
    <w:rsid w:val="00D9264C"/>
    <w:rsid w:val="00D9610D"/>
    <w:rsid w:val="00DB39F6"/>
    <w:rsid w:val="00DB61AB"/>
    <w:rsid w:val="00DD026C"/>
    <w:rsid w:val="00DD6C9A"/>
    <w:rsid w:val="00DD7C09"/>
    <w:rsid w:val="00DE335D"/>
    <w:rsid w:val="00DE5A9D"/>
    <w:rsid w:val="00DE6361"/>
    <w:rsid w:val="00DE6640"/>
    <w:rsid w:val="00DF2AC3"/>
    <w:rsid w:val="00DF3389"/>
    <w:rsid w:val="00DF61E7"/>
    <w:rsid w:val="00DF6528"/>
    <w:rsid w:val="00E0296E"/>
    <w:rsid w:val="00E06134"/>
    <w:rsid w:val="00E10610"/>
    <w:rsid w:val="00E12660"/>
    <w:rsid w:val="00E13006"/>
    <w:rsid w:val="00E135D2"/>
    <w:rsid w:val="00E21C0A"/>
    <w:rsid w:val="00E2249E"/>
    <w:rsid w:val="00E50968"/>
    <w:rsid w:val="00E523D1"/>
    <w:rsid w:val="00E5279E"/>
    <w:rsid w:val="00E547AB"/>
    <w:rsid w:val="00E55322"/>
    <w:rsid w:val="00E62E89"/>
    <w:rsid w:val="00E750D2"/>
    <w:rsid w:val="00E82AE8"/>
    <w:rsid w:val="00E84BFF"/>
    <w:rsid w:val="00E93D38"/>
    <w:rsid w:val="00E94DBF"/>
    <w:rsid w:val="00E957D6"/>
    <w:rsid w:val="00E969A6"/>
    <w:rsid w:val="00EA4710"/>
    <w:rsid w:val="00EA7B4B"/>
    <w:rsid w:val="00EB1838"/>
    <w:rsid w:val="00EB7625"/>
    <w:rsid w:val="00ED00F3"/>
    <w:rsid w:val="00ED2BC3"/>
    <w:rsid w:val="00ED3F02"/>
    <w:rsid w:val="00EE2E05"/>
    <w:rsid w:val="00EE321A"/>
    <w:rsid w:val="00EE488D"/>
    <w:rsid w:val="00EE6F80"/>
    <w:rsid w:val="00EF1406"/>
    <w:rsid w:val="00EF3FA6"/>
    <w:rsid w:val="00F02FCF"/>
    <w:rsid w:val="00F065A3"/>
    <w:rsid w:val="00F201C3"/>
    <w:rsid w:val="00F23E4A"/>
    <w:rsid w:val="00F33233"/>
    <w:rsid w:val="00F35433"/>
    <w:rsid w:val="00F54A89"/>
    <w:rsid w:val="00F70DE1"/>
    <w:rsid w:val="00F735E5"/>
    <w:rsid w:val="00F7437B"/>
    <w:rsid w:val="00F81311"/>
    <w:rsid w:val="00F818DE"/>
    <w:rsid w:val="00F82399"/>
    <w:rsid w:val="00F82525"/>
    <w:rsid w:val="00F87324"/>
    <w:rsid w:val="00F9789D"/>
    <w:rsid w:val="00FB303D"/>
    <w:rsid w:val="00FB560E"/>
    <w:rsid w:val="00FC1EF3"/>
    <w:rsid w:val="00FC41DA"/>
    <w:rsid w:val="00FC6BF6"/>
    <w:rsid w:val="00FC7626"/>
    <w:rsid w:val="00FD0C26"/>
    <w:rsid w:val="00FE32E2"/>
    <w:rsid w:val="00FE4F71"/>
    <w:rsid w:val="00FE7D8B"/>
    <w:rsid w:val="00FF066D"/>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53B3A88"/>
  <w15:docId w15:val="{E9FE1932-24E8-40D6-AA07-B0B6762F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32"/>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4A01DC"/>
    <w:p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36"/>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B87A64"/>
    <w:rPr>
      <w:color w:val="605E5C"/>
      <w:shd w:val="clear" w:color="auto" w:fill="E1DFDD"/>
    </w:rPr>
  </w:style>
  <w:style w:type="paragraph" w:styleId="ListParagraph">
    <w:name w:val="List Paragraph"/>
    <w:basedOn w:val="Normal"/>
    <w:uiPriority w:val="34"/>
    <w:qFormat/>
    <w:rsid w:val="004A4A61"/>
    <w:pPr>
      <w:spacing w:after="160" w:line="259" w:lineRule="auto"/>
      <w:ind w:left="720"/>
      <w:contextualSpacing/>
    </w:pPr>
    <w:rPr>
      <w:rFonts w:asciiTheme="minorHAnsi" w:hAnsiTheme="minorHAnsi"/>
      <w:color w:val="auto"/>
      <w:sz w:val="22"/>
      <w:szCs w:val="22"/>
      <w:lang w:val="en-US"/>
    </w:rPr>
  </w:style>
  <w:style w:type="character" w:styleId="CommentReference">
    <w:name w:val="annotation reference"/>
    <w:basedOn w:val="DefaultParagraphFont"/>
    <w:uiPriority w:val="99"/>
    <w:semiHidden/>
    <w:unhideWhenUsed/>
    <w:rsid w:val="00FD0C26"/>
    <w:rPr>
      <w:sz w:val="16"/>
      <w:szCs w:val="16"/>
    </w:rPr>
  </w:style>
  <w:style w:type="paragraph" w:styleId="Revision">
    <w:name w:val="Revision"/>
    <w:hidden/>
    <w:uiPriority w:val="99"/>
    <w:semiHidden/>
    <w:rsid w:val="008B519E"/>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677607106">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Course_Progress_Policy.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y.vic.gov.au/Shared%20Documents/en/School_Toolkit/ISP_Attendance_Policy.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mailto:isp.quality@education.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international-student-program/poli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7B982AF6-B75A-4769-912A-D84AE5150279}"/>
</file>

<file path=customXml/itemProps3.xml><?xml version="1.0" encoding="utf-8"?>
<ds:datastoreItem xmlns:ds="http://schemas.openxmlformats.org/officeDocument/2006/customXml" ds:itemID="{1FB32D35-D116-47F6-86A6-EC353913FB10}">
  <ds:schemaRefs>
    <ds:schemaRef ds:uri="http://schemas.openxmlformats.org/officeDocument/2006/bibliography"/>
  </ds:schemaRefs>
</ds:datastoreItem>
</file>

<file path=customXml/itemProps4.xml><?xml version="1.0" encoding="utf-8"?>
<ds:datastoreItem xmlns:ds="http://schemas.openxmlformats.org/officeDocument/2006/customXml" ds:itemID="{394D6040-EEA8-4C2D-B238-3D03427AD2FB}">
  <ds:schemaRefs>
    <ds:schemaRef ds:uri="http://schemas.microsoft.com/Sharepoint/v3"/>
    <ds:schemaRef ds:uri="http://www.w3.org/XML/1998/namespace"/>
    <ds:schemaRef ds:uri="http://purl.org/dc/terms/"/>
    <ds:schemaRef ds:uri="513f30e4-ef4b-4508-a67c-1eb14ef752dd"/>
    <ds:schemaRef ds:uri="48d741e2-8e2c-417b-b700-80de02d16da7"/>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77C98BA2-CA2D-403C-B2F5-71C18674062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2019-07-21T23:38:00Z</cp:lastPrinted>
  <dcterms:created xsi:type="dcterms:W3CDTF">2023-09-26T05:11:00Z</dcterms:created>
  <dcterms:modified xsi:type="dcterms:W3CDTF">2023-09-26T05:11:00Z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{4f062f17-c97a-4807-930e-b6f711b6cc6a}</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R20230400969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228800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2023-08-15T16:59:37.2390829+10:00</vt:lpwstr>
  </property>
</Properties>
</file>