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129F" w14:textId="70028510" w:rsidR="00D23639" w:rsidRDefault="00EE7DC7" w:rsidP="00D23639">
      <w:pPr>
        <w:pStyle w:val="Heading1"/>
      </w:pPr>
      <w:bookmarkStart w:id="0" w:name="_Toc489966473"/>
      <w:bookmarkStart w:id="1" w:name="_Toc489972311"/>
      <w:r>
        <w:t>Educational Resource</w:t>
      </w:r>
      <w:r w:rsidR="00D47B85">
        <w:t xml:space="preserve">: </w:t>
      </w:r>
      <w:bookmarkStart w:id="2" w:name="_GoBack"/>
      <w:bookmarkEnd w:id="2"/>
      <w:r w:rsidR="0057103C">
        <w:t>Transfers, Suspensions and Cancellations</w:t>
      </w:r>
    </w:p>
    <w:p w14:paraId="0F16098A" w14:textId="77777777" w:rsidR="00DA7CC0" w:rsidRPr="002D0B07" w:rsidRDefault="00D47B85" w:rsidP="00D23639">
      <w:pPr>
        <w:pStyle w:val="Heading2"/>
        <w:numPr>
          <w:ilvl w:val="1"/>
          <w:numId w:val="30"/>
        </w:numPr>
        <w:rPr>
          <w:color w:val="542E8E"/>
        </w:rPr>
      </w:pPr>
      <w:r w:rsidRPr="002D0B07">
        <w:rPr>
          <w:color w:val="542E8E"/>
        </w:rPr>
        <w:t>FAQs</w:t>
      </w:r>
      <w:r w:rsidR="00DA7CC0" w:rsidRPr="002D0B07">
        <w:rPr>
          <w:color w:val="542E8E"/>
        </w:rPr>
        <w:t xml:space="preserve"> </w:t>
      </w:r>
    </w:p>
    <w:p w14:paraId="0E464757" w14:textId="410573CB" w:rsidR="00D23639" w:rsidRPr="002D0B07" w:rsidRDefault="00DA7CC0" w:rsidP="00DA7CC0">
      <w:pPr>
        <w:pStyle w:val="Heading2"/>
        <w:numPr>
          <w:ilvl w:val="1"/>
          <w:numId w:val="30"/>
        </w:numPr>
        <w:spacing w:before="80" w:after="120" w:line="240" w:lineRule="auto"/>
        <w:rPr>
          <w:b w:val="0"/>
          <w:i/>
          <w:color w:val="542E8E"/>
          <w:sz w:val="16"/>
          <w:szCs w:val="16"/>
        </w:rPr>
      </w:pPr>
      <w:r w:rsidRPr="002D0B07">
        <w:rPr>
          <w:b w:val="0"/>
          <w:i/>
          <w:color w:val="542E8E"/>
          <w:sz w:val="16"/>
          <w:szCs w:val="16"/>
        </w:rPr>
        <w:t>*sourced from AEI National Code Implementation Guide</w:t>
      </w:r>
    </w:p>
    <w:p w14:paraId="358BFF58" w14:textId="3B0B050D" w:rsidR="00E007E1" w:rsidRDefault="00AE745D" w:rsidP="00EE7DC7">
      <w:pPr>
        <w:pStyle w:val="Heading3"/>
        <w:numPr>
          <w:ilvl w:val="2"/>
          <w:numId w:val="30"/>
        </w:numPr>
        <w:jc w:val="center"/>
      </w:pPr>
      <w:r>
        <w:t>DEFINING KEY TERMS</w:t>
      </w:r>
    </w:p>
    <w:p w14:paraId="3BAAA8A8" w14:textId="181C7701" w:rsidR="0057103C" w:rsidRPr="0057103C" w:rsidRDefault="0057103C" w:rsidP="00D31D7B">
      <w:pPr>
        <w:pStyle w:val="BodyText"/>
        <w:rPr>
          <w:b/>
        </w:rPr>
      </w:pPr>
      <w:r w:rsidRPr="0057103C">
        <w:rPr>
          <w:b/>
        </w:rPr>
        <w:t>SUSPEND ENROLMENT</w:t>
      </w:r>
    </w:p>
    <w:p w14:paraId="242961BC" w14:textId="678D8816" w:rsidR="0057103C" w:rsidRDefault="00AE745D" w:rsidP="00D31D7B">
      <w:pPr>
        <w:pStyle w:val="BodyText"/>
      </w:pPr>
      <w:r>
        <w:t xml:space="preserve">To defer or suspend enrolment means to temporarily put studies on hold (adjourn, delay, postpone).  </w:t>
      </w:r>
    </w:p>
    <w:p w14:paraId="5FD4608F" w14:textId="3CE437F7" w:rsidR="00D31D7B" w:rsidRDefault="0057103C" w:rsidP="00D31D7B">
      <w:pPr>
        <w:pStyle w:val="BodyText"/>
      </w:pPr>
      <w:r w:rsidRPr="0057103C">
        <w:rPr>
          <w:b/>
        </w:rPr>
        <w:t>Suspension of enrolment</w:t>
      </w:r>
      <w:r>
        <w:t xml:space="preserve"> is not necessarily due to misbehaviour.</w:t>
      </w:r>
    </w:p>
    <w:p w14:paraId="2A5B3953" w14:textId="504E321E" w:rsidR="00AE745D" w:rsidRDefault="00AE745D" w:rsidP="00D31D7B">
      <w:pPr>
        <w:pStyle w:val="BodyText"/>
      </w:pPr>
      <w:r>
        <w:t>A student may request a temporary deferment or suspension to his or her enrolment on the grounds of compassionate or compelling circumstances.</w:t>
      </w:r>
      <w:r w:rsidR="0057103C">
        <w:t xml:space="preserve"> For example ongoing illness, or bereavement of a close family member.</w:t>
      </w:r>
    </w:p>
    <w:p w14:paraId="6BB00233" w14:textId="6B903A4E" w:rsidR="00AE745D" w:rsidRDefault="00AE745D" w:rsidP="00D31D7B">
      <w:pPr>
        <w:pStyle w:val="BodyText"/>
      </w:pPr>
      <w:r>
        <w:t xml:space="preserve">A provider may also initiative suspension of a student’s enrolment due to misbehaviour of the student. </w:t>
      </w:r>
    </w:p>
    <w:p w14:paraId="53184179" w14:textId="4E7246A2" w:rsidR="0057103C" w:rsidRPr="0057103C" w:rsidRDefault="0057103C" w:rsidP="0057103C">
      <w:pPr>
        <w:pStyle w:val="BodyText"/>
        <w:rPr>
          <w:b/>
        </w:rPr>
      </w:pPr>
      <w:r>
        <w:rPr>
          <w:b/>
        </w:rPr>
        <w:t>INTERNAL TRANSFER / LOCATION CHANGE</w:t>
      </w:r>
    </w:p>
    <w:p w14:paraId="7160A6D2" w14:textId="01C000CB" w:rsidR="009A6276" w:rsidRDefault="0057103C" w:rsidP="0057103C">
      <w:pPr>
        <w:pStyle w:val="BodyText"/>
      </w:pPr>
      <w:r>
        <w:t xml:space="preserve">Internal transfer refers to an international student changing </w:t>
      </w:r>
      <w:r w:rsidR="009A6276">
        <w:t xml:space="preserve">location </w:t>
      </w:r>
      <w:r>
        <w:t xml:space="preserve">from one ISP </w:t>
      </w:r>
      <w:r w:rsidR="00160E71">
        <w:t xml:space="preserve">accredited </w:t>
      </w:r>
      <w:r>
        <w:t>school to another ISP</w:t>
      </w:r>
      <w:r w:rsidR="00911D95">
        <w:t xml:space="preserve"> </w:t>
      </w:r>
      <w:r w:rsidR="00744BCC">
        <w:t>accredited</w:t>
      </w:r>
      <w:r w:rsidR="00160E71">
        <w:t xml:space="preserve"> </w:t>
      </w:r>
      <w:r w:rsidR="00911D95">
        <w:t>school</w:t>
      </w:r>
      <w:r w:rsidR="005541BA">
        <w:t xml:space="preserve"> (i.e. between two ISP-accredited Victorian Government Schools</w:t>
      </w:r>
      <w:r>
        <w:t xml:space="preserve">.  </w:t>
      </w:r>
    </w:p>
    <w:p w14:paraId="22B59A47" w14:textId="33584A9D" w:rsidR="0057103C" w:rsidRDefault="009A6276" w:rsidP="0057103C">
      <w:pPr>
        <w:pStyle w:val="BodyText"/>
      </w:pPr>
      <w:r>
        <w:t>This is because the Department of Education and Training is registered as the approved provider on CRICOS and each individual school is registered as a location.</w:t>
      </w:r>
      <w:r w:rsidR="00160E71">
        <w:t xml:space="preserve"> The </w:t>
      </w:r>
      <w:r w:rsidR="0057103C">
        <w:t>term ‘internal transfer’ is interchangeable with ‘location change’.  Requirements under Standard 7 of the National Code do not apply to international students needing to change location to another ISP accredited school.</w:t>
      </w:r>
    </w:p>
    <w:p w14:paraId="12417F5D" w14:textId="7139B353" w:rsidR="0057103C" w:rsidRPr="0057103C" w:rsidRDefault="0057103C" w:rsidP="0057103C">
      <w:pPr>
        <w:pStyle w:val="BodyText"/>
        <w:rPr>
          <w:b/>
        </w:rPr>
      </w:pPr>
      <w:r>
        <w:rPr>
          <w:b/>
        </w:rPr>
        <w:t xml:space="preserve">EXTERNAL TRANSFER </w:t>
      </w:r>
    </w:p>
    <w:p w14:paraId="4DE6B24D" w14:textId="533F4FB8" w:rsidR="0057103C" w:rsidRDefault="0057103C" w:rsidP="0057103C">
      <w:pPr>
        <w:pStyle w:val="BodyText"/>
      </w:pPr>
      <w:r>
        <w:t xml:space="preserve">External transfers refers to an international student who seeks to transfer out of an ISP school to a non-government CRICOS provider. Conversely, an international student from a non-government CRICOS provider may wish to transfer to a Victorian government school accredited under the ISP.  The ESOS framework (National Code Standard 7) refers to these students as ‘transfer’ students. </w:t>
      </w:r>
    </w:p>
    <w:p w14:paraId="7B08CD98" w14:textId="27C8DC2B" w:rsidR="00E007E1" w:rsidRDefault="000F777A" w:rsidP="000F777A">
      <w:pPr>
        <w:pStyle w:val="BodyText"/>
        <w:ind w:left="567" w:hanging="567"/>
        <w:rPr>
          <w:b/>
        </w:rPr>
      </w:pPr>
      <w:r>
        <w:rPr>
          <w:b/>
        </w:rPr>
        <w:t>Q</w:t>
      </w:r>
      <w:r>
        <w:rPr>
          <w:b/>
        </w:rPr>
        <w:tab/>
      </w:r>
      <w:r w:rsidR="001660C7">
        <w:rPr>
          <w:b/>
        </w:rPr>
        <w:t>How does a deferment or suspension of enrolment affect a student’s CoE</w:t>
      </w:r>
      <w:r>
        <w:rPr>
          <w:b/>
        </w:rPr>
        <w:t>?</w:t>
      </w:r>
    </w:p>
    <w:p w14:paraId="46B8B398" w14:textId="507EDAAD" w:rsidR="001660C7" w:rsidRDefault="000F777A" w:rsidP="001660C7">
      <w:pPr>
        <w:pStyle w:val="BodyText"/>
        <w:ind w:left="567" w:hanging="567"/>
      </w:pPr>
      <w:r>
        <w:t>A</w:t>
      </w:r>
      <w:r>
        <w:tab/>
      </w:r>
      <w:r w:rsidR="00D82B19">
        <w:t xml:space="preserve">A deferment or suspension will affect the student’s CoE in one of two ways depending entirely on whether the end date of the student’s original CoE is affected by the temporary </w:t>
      </w:r>
      <w:r w:rsidR="00B86072">
        <w:t xml:space="preserve">suspension </w:t>
      </w:r>
      <w:r w:rsidR="00D82B19">
        <w:t>of studies</w:t>
      </w:r>
      <w:r w:rsidR="001660C7">
        <w:t>:</w:t>
      </w:r>
    </w:p>
    <w:p w14:paraId="724E6EFC" w14:textId="77777777" w:rsidR="00D82B19" w:rsidRDefault="001660C7" w:rsidP="001660C7">
      <w:pPr>
        <w:pStyle w:val="BodyText"/>
        <w:ind w:left="1134" w:hanging="567"/>
      </w:pPr>
      <w:r>
        <w:t>1.</w:t>
      </w:r>
      <w:r>
        <w:tab/>
      </w:r>
      <w:r w:rsidR="00D82B19">
        <w:t>The</w:t>
      </w:r>
      <w:r>
        <w:t xml:space="preserve"> deferment or suspension is for a period of time that </w:t>
      </w:r>
      <w:r w:rsidRPr="00D82B19">
        <w:rPr>
          <w:b/>
          <w:i/>
        </w:rPr>
        <w:t xml:space="preserve">does </w:t>
      </w:r>
      <w:r w:rsidRPr="00D82B19">
        <w:rPr>
          <w:b/>
          <w:i/>
          <w:u w:val="single"/>
        </w:rPr>
        <w:t>not</w:t>
      </w:r>
      <w:r w:rsidRPr="00D82B19">
        <w:rPr>
          <w:b/>
          <w:i/>
        </w:rPr>
        <w:t xml:space="preserve"> affect the end date of the CoE</w:t>
      </w:r>
      <w:r>
        <w:t xml:space="preserve">.  </w:t>
      </w:r>
    </w:p>
    <w:p w14:paraId="33CE6D0A" w14:textId="64D8F57B" w:rsidR="00D915D6" w:rsidRDefault="001660C7" w:rsidP="00D82B19">
      <w:pPr>
        <w:pStyle w:val="BodyText"/>
        <w:ind w:left="1134"/>
      </w:pPr>
      <w:r>
        <w:t>In this case, the CoE remains active and is not cancelled.  DET (IED) is still required to record the deferment or suspension in PRISMS for future reference by DHA.</w:t>
      </w:r>
    </w:p>
    <w:p w14:paraId="7EA2B6E0" w14:textId="77777777" w:rsidR="00D82B19" w:rsidRDefault="001660C7" w:rsidP="001660C7">
      <w:pPr>
        <w:pStyle w:val="BodyText"/>
        <w:ind w:left="1134" w:hanging="567"/>
      </w:pPr>
      <w:r>
        <w:t>2.</w:t>
      </w:r>
      <w:r>
        <w:tab/>
      </w:r>
      <w:r w:rsidR="00D82B19">
        <w:t>The</w:t>
      </w:r>
      <w:r>
        <w:t xml:space="preserve"> deferment or suspension is for a period of time that </w:t>
      </w:r>
      <w:r w:rsidRPr="00D82B19">
        <w:rPr>
          <w:b/>
          <w:i/>
          <w:u w:val="single"/>
        </w:rPr>
        <w:t>will affect</w:t>
      </w:r>
      <w:r w:rsidRPr="00D82B19">
        <w:rPr>
          <w:b/>
          <w:i/>
        </w:rPr>
        <w:t xml:space="preserve"> the end date of the CoE</w:t>
      </w:r>
      <w:r>
        <w:t xml:space="preserve">.  </w:t>
      </w:r>
    </w:p>
    <w:p w14:paraId="2ED5F3E7" w14:textId="6AFD3B63" w:rsidR="001660C7" w:rsidRDefault="001660C7" w:rsidP="00D82B19">
      <w:pPr>
        <w:pStyle w:val="BodyText"/>
        <w:ind w:left="1134"/>
      </w:pPr>
      <w:r>
        <w:t xml:space="preserve">In </w:t>
      </w:r>
      <w:r w:rsidR="00D82B19">
        <w:t>this case</w:t>
      </w:r>
      <w:r>
        <w:t xml:space="preserve">, PRISMS will cancel the original CoE and immediately offer the provider (DET-IED) the opportunity to create a new CoE which reflects the revised anticipated course end date for the student. </w:t>
      </w:r>
      <w:r w:rsidR="002810F0">
        <w:t>If the new end date is not known at the time of the reporting the deferment or suspension, the provider can choose to create a new CoE but to wait until the student notifies the school of their intended date of return before creating the new CoE.</w:t>
      </w:r>
    </w:p>
    <w:p w14:paraId="3D1FE615" w14:textId="1BA3B479" w:rsidR="007E11C6" w:rsidRDefault="007E11C6" w:rsidP="007E11C6">
      <w:pPr>
        <w:pStyle w:val="BodyText"/>
        <w:ind w:left="567" w:hanging="567"/>
        <w:rPr>
          <w:b/>
        </w:rPr>
      </w:pPr>
      <w:r>
        <w:rPr>
          <w:b/>
        </w:rPr>
        <w:t>Q</w:t>
      </w:r>
      <w:r>
        <w:rPr>
          <w:b/>
        </w:rPr>
        <w:tab/>
        <w:t>Are parents required to sign off on a release for students to withdraw from the ISP less than six months into their course?</w:t>
      </w:r>
    </w:p>
    <w:p w14:paraId="2D0C66B7" w14:textId="0DFCC54A" w:rsidR="007E11C6" w:rsidRDefault="007E11C6" w:rsidP="007E11C6">
      <w:pPr>
        <w:pStyle w:val="BodyText"/>
        <w:ind w:left="567" w:hanging="567"/>
        <w:rPr>
          <w:b/>
        </w:rPr>
      </w:pPr>
      <w:r>
        <w:t>A</w:t>
      </w:r>
      <w:r>
        <w:tab/>
        <w:t>Yes.</w:t>
      </w:r>
    </w:p>
    <w:bookmarkEnd w:id="0"/>
    <w:bookmarkEnd w:id="1"/>
    <w:sectPr w:rsidR="007E11C6" w:rsidSect="00786890">
      <w:footerReference w:type="default" r:id="rId12"/>
      <w:headerReference w:type="first" r:id="rId13"/>
      <w:footerReference w:type="first" r:id="rId14"/>
      <w:pgSz w:w="11900" w:h="16840" w:code="9"/>
      <w:pgMar w:top="720" w:right="720" w:bottom="1560"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6EB8" w14:textId="77777777" w:rsidR="007E215A" w:rsidRDefault="007E215A">
      <w:pPr>
        <w:spacing w:line="240" w:lineRule="auto"/>
      </w:pPr>
      <w:r>
        <w:separator/>
      </w:r>
    </w:p>
  </w:endnote>
  <w:endnote w:type="continuationSeparator" w:id="0">
    <w:p w14:paraId="3F01A997" w14:textId="77777777" w:rsidR="007E215A" w:rsidRDefault="007E215A">
      <w:pPr>
        <w:spacing w:line="240" w:lineRule="auto"/>
      </w:pPr>
      <w:r>
        <w:continuationSeparator/>
      </w:r>
    </w:p>
  </w:endnote>
  <w:endnote w:type="continuationNotice" w:id="1">
    <w:p w14:paraId="05B21066" w14:textId="77777777" w:rsidR="007E215A" w:rsidRDefault="007E2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1A" w14:textId="77777777" w:rsidR="00C47998" w:rsidRPr="00394CF6" w:rsidRDefault="00C47998" w:rsidP="00394CF6">
    <w:pPr>
      <w:pStyle w:val="Header"/>
      <w:rPr>
        <w:rFonts w:cs="Arial"/>
        <w:color w:val="7F7F7F" w:themeColor="text1" w:themeTint="80"/>
        <w:sz w:val="16"/>
        <w:szCs w:val="16"/>
      </w:rPr>
    </w:pPr>
  </w:p>
  <w:p w14:paraId="7B177369" w14:textId="19FF875A" w:rsidR="00C47998" w:rsidRPr="00437D5A" w:rsidRDefault="00C47998"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911D95">
      <w:rPr>
        <w:noProof/>
      </w:rPr>
      <w:t>2</w:t>
    </w:r>
    <w:r w:rsidRPr="00437D5A">
      <w:fldChar w:fldCharType="end"/>
    </w:r>
    <w:r w:rsidRPr="00437D5A">
      <w:t xml:space="preserve"> of </w:t>
    </w:r>
    <w:r w:rsidR="002D0B07">
      <w:fldChar w:fldCharType="begin"/>
    </w:r>
    <w:r w:rsidR="002D0B07">
      <w:instrText xml:space="preserve"> NUMPAGES  \* Arabic  \* MERGEFORMAT </w:instrText>
    </w:r>
    <w:r w:rsidR="002D0B07">
      <w:fldChar w:fldCharType="separate"/>
    </w:r>
    <w:r w:rsidR="00911D95">
      <w:rPr>
        <w:noProof/>
      </w:rPr>
      <w:t>2</w:t>
    </w:r>
    <w:r w:rsidR="002D0B07">
      <w:rPr>
        <w:noProof/>
      </w:rPr>
      <w:fldChar w:fldCharType="end"/>
    </w:r>
  </w:p>
  <w:p w14:paraId="4DB383B9" w14:textId="7F7F64CF" w:rsidR="00C47998" w:rsidRPr="00437D5A" w:rsidRDefault="00C47998"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CB6" w14:textId="29FA10BE" w:rsidR="00C47998" w:rsidRPr="00394CF6" w:rsidRDefault="002D0B07">
    <w:pPr>
      <w:pStyle w:val="Footer"/>
    </w:pPr>
    <w:r>
      <w:rPr>
        <w:noProof/>
        <w:lang w:eastAsia="en-AU"/>
      </w:rPr>
      <w:pict w14:anchorId="74D73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8pt;height:62.3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F2A1" w14:textId="77777777" w:rsidR="007E215A" w:rsidRDefault="007E215A">
      <w:pPr>
        <w:spacing w:line="240" w:lineRule="auto"/>
      </w:pPr>
      <w:r>
        <w:separator/>
      </w:r>
    </w:p>
  </w:footnote>
  <w:footnote w:type="continuationSeparator" w:id="0">
    <w:p w14:paraId="7DA6AE1B" w14:textId="77777777" w:rsidR="007E215A" w:rsidRDefault="007E215A">
      <w:pPr>
        <w:spacing w:line="240" w:lineRule="auto"/>
      </w:pPr>
      <w:r>
        <w:continuationSeparator/>
      </w:r>
    </w:p>
  </w:footnote>
  <w:footnote w:type="continuationNotice" w:id="1">
    <w:p w14:paraId="7D36630B" w14:textId="77777777" w:rsidR="007E215A" w:rsidRDefault="007E2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7435" w14:textId="75F6C669" w:rsidR="00C47998" w:rsidRPr="00B367E9" w:rsidRDefault="00911D95" w:rsidP="00EE7DC7">
    <w:pPr>
      <w:pStyle w:val="Header"/>
      <w:jc w:val="center"/>
    </w:pPr>
    <w:r>
      <w:rPr>
        <w:noProof/>
        <w:lang w:eastAsia="en-AU"/>
      </w:rPr>
      <w:drawing>
        <wp:anchor distT="0" distB="0" distL="114300" distR="114300" simplePos="0" relativeHeight="251661312" behindDoc="0" locked="0" layoutInCell="1" allowOverlap="1" wp14:anchorId="17EA58EA" wp14:editId="34D6C467">
          <wp:simplePos x="0" y="0"/>
          <wp:positionH relativeFrom="page">
            <wp:align>right</wp:align>
          </wp:positionH>
          <wp:positionV relativeFrom="paragraph">
            <wp:posOffset>-38100</wp:posOffset>
          </wp:positionV>
          <wp:extent cx="7557135" cy="1019175"/>
          <wp:effectExtent l="0" t="0" r="5715" b="9525"/>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4"/>
  </w:num>
  <w:num w:numId="14">
    <w:abstractNumId w:val="27"/>
  </w:num>
  <w:num w:numId="15">
    <w:abstractNumId w:val="29"/>
  </w:num>
  <w:num w:numId="16">
    <w:abstractNumId w:val="28"/>
  </w:num>
  <w:num w:numId="17">
    <w:abstractNumId w:val="26"/>
  </w:num>
  <w:num w:numId="18">
    <w:abstractNumId w:val="12"/>
  </w:num>
  <w:num w:numId="19">
    <w:abstractNumId w:val="25"/>
  </w:num>
  <w:num w:numId="20">
    <w:abstractNumId w:val="16"/>
  </w:num>
  <w:num w:numId="21">
    <w:abstractNumId w:val="17"/>
  </w:num>
  <w:num w:numId="22">
    <w:abstractNumId w:val="14"/>
  </w:num>
  <w:num w:numId="23">
    <w:abstractNumId w:val="30"/>
  </w:num>
  <w:num w:numId="24">
    <w:abstractNumId w:val="30"/>
  </w:num>
  <w:num w:numId="25">
    <w:abstractNumId w:val="30"/>
  </w:num>
  <w:num w:numId="26">
    <w:abstractNumId w:val="11"/>
  </w:num>
  <w:num w:numId="27">
    <w:abstractNumId w:val="16"/>
  </w:num>
  <w:num w:numId="28">
    <w:abstractNumId w:val="17"/>
  </w:num>
  <w:num w:numId="29">
    <w:abstractNumId w:val="14"/>
  </w:num>
  <w:num w:numId="30">
    <w:abstractNumId w:val="18"/>
  </w:num>
  <w:num w:numId="31">
    <w:abstractNumId w:val="18"/>
  </w:num>
  <w:num w:numId="32">
    <w:abstractNumId w:val="18"/>
  </w:num>
  <w:num w:numId="33">
    <w:abstractNumId w:val="30"/>
  </w:num>
  <w:num w:numId="34">
    <w:abstractNumId w:val="30"/>
  </w:num>
  <w:num w:numId="35">
    <w:abstractNumId w:val="30"/>
  </w:num>
  <w:num w:numId="36">
    <w:abstractNumId w:val="15"/>
  </w:num>
  <w:num w:numId="37">
    <w:abstractNumId w:val="15"/>
  </w:num>
  <w:num w:numId="38">
    <w:abstractNumId w:val="19"/>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num>
  <w:num w:numId="43">
    <w:abstractNumId w:val="10"/>
  </w:num>
  <w:num w:numId="44">
    <w:abstractNumId w:val="13"/>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2457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D3B"/>
    <w:rsid w:val="00002803"/>
    <w:rsid w:val="000046A7"/>
    <w:rsid w:val="00005C85"/>
    <w:rsid w:val="00005D4A"/>
    <w:rsid w:val="000064B9"/>
    <w:rsid w:val="00011E5D"/>
    <w:rsid w:val="00012CC8"/>
    <w:rsid w:val="00020984"/>
    <w:rsid w:val="00021875"/>
    <w:rsid w:val="0002303E"/>
    <w:rsid w:val="00027634"/>
    <w:rsid w:val="00034113"/>
    <w:rsid w:val="00034A05"/>
    <w:rsid w:val="00041775"/>
    <w:rsid w:val="00047C7F"/>
    <w:rsid w:val="00050EAB"/>
    <w:rsid w:val="000653D4"/>
    <w:rsid w:val="0006740D"/>
    <w:rsid w:val="00067BAD"/>
    <w:rsid w:val="000710C1"/>
    <w:rsid w:val="00072E91"/>
    <w:rsid w:val="000738F7"/>
    <w:rsid w:val="0007427E"/>
    <w:rsid w:val="0008042C"/>
    <w:rsid w:val="00081488"/>
    <w:rsid w:val="00086EE1"/>
    <w:rsid w:val="00087A2D"/>
    <w:rsid w:val="00090428"/>
    <w:rsid w:val="00090C33"/>
    <w:rsid w:val="000942B0"/>
    <w:rsid w:val="000953D6"/>
    <w:rsid w:val="00097F4F"/>
    <w:rsid w:val="000A16E6"/>
    <w:rsid w:val="000A3754"/>
    <w:rsid w:val="000B13EB"/>
    <w:rsid w:val="000B22AA"/>
    <w:rsid w:val="000B783D"/>
    <w:rsid w:val="000C0D6A"/>
    <w:rsid w:val="000C2E7D"/>
    <w:rsid w:val="000C31EC"/>
    <w:rsid w:val="000C5190"/>
    <w:rsid w:val="000D10CA"/>
    <w:rsid w:val="000D1B6F"/>
    <w:rsid w:val="000D485E"/>
    <w:rsid w:val="000D50FB"/>
    <w:rsid w:val="000D7024"/>
    <w:rsid w:val="000E0825"/>
    <w:rsid w:val="000E2C26"/>
    <w:rsid w:val="000E3FF6"/>
    <w:rsid w:val="000E5D45"/>
    <w:rsid w:val="000E6AB2"/>
    <w:rsid w:val="000F01E7"/>
    <w:rsid w:val="000F777A"/>
    <w:rsid w:val="00100D34"/>
    <w:rsid w:val="00100EA4"/>
    <w:rsid w:val="00112F97"/>
    <w:rsid w:val="00114F46"/>
    <w:rsid w:val="00117FE2"/>
    <w:rsid w:val="00120A62"/>
    <w:rsid w:val="001234AD"/>
    <w:rsid w:val="00124C62"/>
    <w:rsid w:val="001251B9"/>
    <w:rsid w:val="0012684A"/>
    <w:rsid w:val="00133E6A"/>
    <w:rsid w:val="00135A7C"/>
    <w:rsid w:val="00137408"/>
    <w:rsid w:val="00144386"/>
    <w:rsid w:val="00145123"/>
    <w:rsid w:val="0014588F"/>
    <w:rsid w:val="00150AC4"/>
    <w:rsid w:val="00152B65"/>
    <w:rsid w:val="00152E77"/>
    <w:rsid w:val="00155DCA"/>
    <w:rsid w:val="00160255"/>
    <w:rsid w:val="00160E71"/>
    <w:rsid w:val="00161EB6"/>
    <w:rsid w:val="00162B10"/>
    <w:rsid w:val="001660C7"/>
    <w:rsid w:val="001665D4"/>
    <w:rsid w:val="00166B23"/>
    <w:rsid w:val="001677DD"/>
    <w:rsid w:val="00172735"/>
    <w:rsid w:val="001745EB"/>
    <w:rsid w:val="00174FF7"/>
    <w:rsid w:val="00176B93"/>
    <w:rsid w:val="0018568B"/>
    <w:rsid w:val="00185DE1"/>
    <w:rsid w:val="001878AD"/>
    <w:rsid w:val="001929E8"/>
    <w:rsid w:val="001A53D7"/>
    <w:rsid w:val="001A6671"/>
    <w:rsid w:val="001B1B97"/>
    <w:rsid w:val="001B5435"/>
    <w:rsid w:val="001B7151"/>
    <w:rsid w:val="001C051C"/>
    <w:rsid w:val="001C3411"/>
    <w:rsid w:val="001C3F9A"/>
    <w:rsid w:val="001C45BD"/>
    <w:rsid w:val="001C70D0"/>
    <w:rsid w:val="001C725A"/>
    <w:rsid w:val="001D1D72"/>
    <w:rsid w:val="001D1F4F"/>
    <w:rsid w:val="001D2B94"/>
    <w:rsid w:val="001E5B40"/>
    <w:rsid w:val="001E62BF"/>
    <w:rsid w:val="001F10B9"/>
    <w:rsid w:val="001F37AE"/>
    <w:rsid w:val="001F6E93"/>
    <w:rsid w:val="001F768C"/>
    <w:rsid w:val="0020201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113B"/>
    <w:rsid w:val="0023475B"/>
    <w:rsid w:val="00236CB0"/>
    <w:rsid w:val="0024191B"/>
    <w:rsid w:val="0024579D"/>
    <w:rsid w:val="00245D5F"/>
    <w:rsid w:val="00261516"/>
    <w:rsid w:val="00264897"/>
    <w:rsid w:val="0026571D"/>
    <w:rsid w:val="00267388"/>
    <w:rsid w:val="00267543"/>
    <w:rsid w:val="00272BD7"/>
    <w:rsid w:val="0027327A"/>
    <w:rsid w:val="002749F5"/>
    <w:rsid w:val="002810F0"/>
    <w:rsid w:val="00284792"/>
    <w:rsid w:val="0028666E"/>
    <w:rsid w:val="00286C27"/>
    <w:rsid w:val="0028756A"/>
    <w:rsid w:val="002878AA"/>
    <w:rsid w:val="00287F09"/>
    <w:rsid w:val="00290061"/>
    <w:rsid w:val="00290676"/>
    <w:rsid w:val="0029135E"/>
    <w:rsid w:val="002948E7"/>
    <w:rsid w:val="00294A2A"/>
    <w:rsid w:val="002952DE"/>
    <w:rsid w:val="00296CE5"/>
    <w:rsid w:val="00297E65"/>
    <w:rsid w:val="002A3D1F"/>
    <w:rsid w:val="002A4120"/>
    <w:rsid w:val="002A53AF"/>
    <w:rsid w:val="002A5F70"/>
    <w:rsid w:val="002A7932"/>
    <w:rsid w:val="002B1E8B"/>
    <w:rsid w:val="002B3B7D"/>
    <w:rsid w:val="002B4416"/>
    <w:rsid w:val="002B480E"/>
    <w:rsid w:val="002B59C6"/>
    <w:rsid w:val="002C3C1B"/>
    <w:rsid w:val="002C4B0B"/>
    <w:rsid w:val="002C6696"/>
    <w:rsid w:val="002D02B9"/>
    <w:rsid w:val="002D0B07"/>
    <w:rsid w:val="002D2ED8"/>
    <w:rsid w:val="002D5B9C"/>
    <w:rsid w:val="002D7162"/>
    <w:rsid w:val="002D75D7"/>
    <w:rsid w:val="002E330F"/>
    <w:rsid w:val="002E4B23"/>
    <w:rsid w:val="002E5438"/>
    <w:rsid w:val="002E5EB6"/>
    <w:rsid w:val="002F39DA"/>
    <w:rsid w:val="002F572A"/>
    <w:rsid w:val="002F7718"/>
    <w:rsid w:val="00301002"/>
    <w:rsid w:val="0030500C"/>
    <w:rsid w:val="00305270"/>
    <w:rsid w:val="00312BA9"/>
    <w:rsid w:val="0031503A"/>
    <w:rsid w:val="00315318"/>
    <w:rsid w:val="00315C2B"/>
    <w:rsid w:val="003202B2"/>
    <w:rsid w:val="00320D7D"/>
    <w:rsid w:val="0032530A"/>
    <w:rsid w:val="00330D22"/>
    <w:rsid w:val="003377B0"/>
    <w:rsid w:val="003428A1"/>
    <w:rsid w:val="00342978"/>
    <w:rsid w:val="0034560A"/>
    <w:rsid w:val="00351A0A"/>
    <w:rsid w:val="00352A6B"/>
    <w:rsid w:val="0035355D"/>
    <w:rsid w:val="00355BE8"/>
    <w:rsid w:val="003571DE"/>
    <w:rsid w:val="00357468"/>
    <w:rsid w:val="003606B8"/>
    <w:rsid w:val="00367FC7"/>
    <w:rsid w:val="00371A90"/>
    <w:rsid w:val="003741B6"/>
    <w:rsid w:val="0037550B"/>
    <w:rsid w:val="00377AB9"/>
    <w:rsid w:val="00382898"/>
    <w:rsid w:val="00383650"/>
    <w:rsid w:val="003867CB"/>
    <w:rsid w:val="00392389"/>
    <w:rsid w:val="00394CF6"/>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1926"/>
    <w:rsid w:val="003E33A4"/>
    <w:rsid w:val="003E7CFD"/>
    <w:rsid w:val="003F3CDE"/>
    <w:rsid w:val="003F453C"/>
    <w:rsid w:val="003F4C57"/>
    <w:rsid w:val="003F5071"/>
    <w:rsid w:val="003F524E"/>
    <w:rsid w:val="00402307"/>
    <w:rsid w:val="0040507F"/>
    <w:rsid w:val="00405F82"/>
    <w:rsid w:val="004068E7"/>
    <w:rsid w:val="00410C4D"/>
    <w:rsid w:val="004111DA"/>
    <w:rsid w:val="00412DFA"/>
    <w:rsid w:val="00414FA3"/>
    <w:rsid w:val="00415F1B"/>
    <w:rsid w:val="004226F4"/>
    <w:rsid w:val="00422DE9"/>
    <w:rsid w:val="00422FE4"/>
    <w:rsid w:val="0043145D"/>
    <w:rsid w:val="004323F9"/>
    <w:rsid w:val="004338C1"/>
    <w:rsid w:val="00435A7A"/>
    <w:rsid w:val="0043657C"/>
    <w:rsid w:val="00437D5A"/>
    <w:rsid w:val="00443029"/>
    <w:rsid w:val="00445DD2"/>
    <w:rsid w:val="004463D5"/>
    <w:rsid w:val="00450C46"/>
    <w:rsid w:val="00453323"/>
    <w:rsid w:val="00453D3D"/>
    <w:rsid w:val="00455A51"/>
    <w:rsid w:val="00457DF2"/>
    <w:rsid w:val="00457E70"/>
    <w:rsid w:val="004634A8"/>
    <w:rsid w:val="00463CE7"/>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5B5E"/>
    <w:rsid w:val="004A5EBE"/>
    <w:rsid w:val="004A6605"/>
    <w:rsid w:val="004B0690"/>
    <w:rsid w:val="004B0E7A"/>
    <w:rsid w:val="004B4062"/>
    <w:rsid w:val="004B46AC"/>
    <w:rsid w:val="004B56D7"/>
    <w:rsid w:val="004C236B"/>
    <w:rsid w:val="004C27D6"/>
    <w:rsid w:val="004C373C"/>
    <w:rsid w:val="004C3FFE"/>
    <w:rsid w:val="004D2CD4"/>
    <w:rsid w:val="004D488E"/>
    <w:rsid w:val="004D6D83"/>
    <w:rsid w:val="004E0633"/>
    <w:rsid w:val="004E0ED1"/>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2113F"/>
    <w:rsid w:val="0052388F"/>
    <w:rsid w:val="0052428F"/>
    <w:rsid w:val="00524E62"/>
    <w:rsid w:val="005257D3"/>
    <w:rsid w:val="0052660D"/>
    <w:rsid w:val="00532CD2"/>
    <w:rsid w:val="00533AA2"/>
    <w:rsid w:val="00536E51"/>
    <w:rsid w:val="00543811"/>
    <w:rsid w:val="00547D2B"/>
    <w:rsid w:val="0055288F"/>
    <w:rsid w:val="005541BA"/>
    <w:rsid w:val="00554FF3"/>
    <w:rsid w:val="005554BD"/>
    <w:rsid w:val="00555EC7"/>
    <w:rsid w:val="005566E9"/>
    <w:rsid w:val="005571E1"/>
    <w:rsid w:val="005609A3"/>
    <w:rsid w:val="0056140C"/>
    <w:rsid w:val="0056185C"/>
    <w:rsid w:val="00561DE7"/>
    <w:rsid w:val="00566D76"/>
    <w:rsid w:val="0057103C"/>
    <w:rsid w:val="00575DAF"/>
    <w:rsid w:val="0058165A"/>
    <w:rsid w:val="00581E1F"/>
    <w:rsid w:val="0058380F"/>
    <w:rsid w:val="00584DE3"/>
    <w:rsid w:val="00590C08"/>
    <w:rsid w:val="00593449"/>
    <w:rsid w:val="0059509E"/>
    <w:rsid w:val="0059588B"/>
    <w:rsid w:val="005A0B0C"/>
    <w:rsid w:val="005A16D5"/>
    <w:rsid w:val="005A19C9"/>
    <w:rsid w:val="005A2550"/>
    <w:rsid w:val="005A3DF2"/>
    <w:rsid w:val="005A6410"/>
    <w:rsid w:val="005B2BA4"/>
    <w:rsid w:val="005B3514"/>
    <w:rsid w:val="005B4F8C"/>
    <w:rsid w:val="005B5E1A"/>
    <w:rsid w:val="005C0C7A"/>
    <w:rsid w:val="005C0E76"/>
    <w:rsid w:val="005C6523"/>
    <w:rsid w:val="005D5F0E"/>
    <w:rsid w:val="005D6701"/>
    <w:rsid w:val="005E1A66"/>
    <w:rsid w:val="005E39CE"/>
    <w:rsid w:val="005E47A2"/>
    <w:rsid w:val="005E5F45"/>
    <w:rsid w:val="005F1D83"/>
    <w:rsid w:val="005F3A72"/>
    <w:rsid w:val="005F599C"/>
    <w:rsid w:val="00607E90"/>
    <w:rsid w:val="0061163A"/>
    <w:rsid w:val="00611EE5"/>
    <w:rsid w:val="0061324D"/>
    <w:rsid w:val="00613644"/>
    <w:rsid w:val="00617B2E"/>
    <w:rsid w:val="00623DD0"/>
    <w:rsid w:val="00627E19"/>
    <w:rsid w:val="00630F76"/>
    <w:rsid w:val="00631C8B"/>
    <w:rsid w:val="00632D04"/>
    <w:rsid w:val="006430AA"/>
    <w:rsid w:val="006439D9"/>
    <w:rsid w:val="006446ED"/>
    <w:rsid w:val="00651662"/>
    <w:rsid w:val="006537CE"/>
    <w:rsid w:val="006575CE"/>
    <w:rsid w:val="00657F27"/>
    <w:rsid w:val="0066065D"/>
    <w:rsid w:val="00661EA4"/>
    <w:rsid w:val="00665E38"/>
    <w:rsid w:val="006729B3"/>
    <w:rsid w:val="006807B4"/>
    <w:rsid w:val="00681CA6"/>
    <w:rsid w:val="00682C81"/>
    <w:rsid w:val="00683DCD"/>
    <w:rsid w:val="00687206"/>
    <w:rsid w:val="006874CE"/>
    <w:rsid w:val="006875FD"/>
    <w:rsid w:val="006902A3"/>
    <w:rsid w:val="0069132F"/>
    <w:rsid w:val="00696162"/>
    <w:rsid w:val="006A3271"/>
    <w:rsid w:val="006A4835"/>
    <w:rsid w:val="006A6477"/>
    <w:rsid w:val="006A74C8"/>
    <w:rsid w:val="006B3C01"/>
    <w:rsid w:val="006B5282"/>
    <w:rsid w:val="006B5BD0"/>
    <w:rsid w:val="006C1D99"/>
    <w:rsid w:val="006C34D8"/>
    <w:rsid w:val="006C5DE8"/>
    <w:rsid w:val="006C68B9"/>
    <w:rsid w:val="006D0B2E"/>
    <w:rsid w:val="006E06A7"/>
    <w:rsid w:val="006E0FC0"/>
    <w:rsid w:val="006E364C"/>
    <w:rsid w:val="006E3A48"/>
    <w:rsid w:val="006E5FDD"/>
    <w:rsid w:val="006E65E0"/>
    <w:rsid w:val="006F0720"/>
    <w:rsid w:val="006F28E5"/>
    <w:rsid w:val="006F617D"/>
    <w:rsid w:val="006F7286"/>
    <w:rsid w:val="0070243A"/>
    <w:rsid w:val="00712E49"/>
    <w:rsid w:val="00717200"/>
    <w:rsid w:val="007176D9"/>
    <w:rsid w:val="00720569"/>
    <w:rsid w:val="00721272"/>
    <w:rsid w:val="0072626A"/>
    <w:rsid w:val="00727D54"/>
    <w:rsid w:val="0073398D"/>
    <w:rsid w:val="00735F4D"/>
    <w:rsid w:val="00736043"/>
    <w:rsid w:val="007404AB"/>
    <w:rsid w:val="00741521"/>
    <w:rsid w:val="007435A7"/>
    <w:rsid w:val="00743B8C"/>
    <w:rsid w:val="00744BCC"/>
    <w:rsid w:val="0074547C"/>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64A"/>
    <w:rsid w:val="00786890"/>
    <w:rsid w:val="007920DC"/>
    <w:rsid w:val="007951A9"/>
    <w:rsid w:val="00795263"/>
    <w:rsid w:val="00796555"/>
    <w:rsid w:val="007A096F"/>
    <w:rsid w:val="007A1865"/>
    <w:rsid w:val="007A4110"/>
    <w:rsid w:val="007A7745"/>
    <w:rsid w:val="007B2F37"/>
    <w:rsid w:val="007B5F11"/>
    <w:rsid w:val="007C0626"/>
    <w:rsid w:val="007C23F8"/>
    <w:rsid w:val="007C2448"/>
    <w:rsid w:val="007D2EC9"/>
    <w:rsid w:val="007E11C6"/>
    <w:rsid w:val="007E215A"/>
    <w:rsid w:val="007E2510"/>
    <w:rsid w:val="007E5D46"/>
    <w:rsid w:val="007E5F88"/>
    <w:rsid w:val="007E70B3"/>
    <w:rsid w:val="007F0ECE"/>
    <w:rsid w:val="007F35FF"/>
    <w:rsid w:val="007F5C5C"/>
    <w:rsid w:val="007F6278"/>
    <w:rsid w:val="00803AA9"/>
    <w:rsid w:val="00803CE8"/>
    <w:rsid w:val="00803E32"/>
    <w:rsid w:val="00804578"/>
    <w:rsid w:val="008119A7"/>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5A6B"/>
    <w:rsid w:val="00846EF9"/>
    <w:rsid w:val="00851C86"/>
    <w:rsid w:val="00853553"/>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3C06"/>
    <w:rsid w:val="00894D36"/>
    <w:rsid w:val="00894D8C"/>
    <w:rsid w:val="00895ED0"/>
    <w:rsid w:val="0089731A"/>
    <w:rsid w:val="00897E75"/>
    <w:rsid w:val="008A2F16"/>
    <w:rsid w:val="008A577A"/>
    <w:rsid w:val="008A609E"/>
    <w:rsid w:val="008A7E5F"/>
    <w:rsid w:val="008B207D"/>
    <w:rsid w:val="008B42F4"/>
    <w:rsid w:val="008C128B"/>
    <w:rsid w:val="008C3D2D"/>
    <w:rsid w:val="008D1541"/>
    <w:rsid w:val="008D19D9"/>
    <w:rsid w:val="008D208B"/>
    <w:rsid w:val="008E04BC"/>
    <w:rsid w:val="008E215F"/>
    <w:rsid w:val="008E3BD3"/>
    <w:rsid w:val="008E3F14"/>
    <w:rsid w:val="008F179B"/>
    <w:rsid w:val="008F3BF0"/>
    <w:rsid w:val="008F453A"/>
    <w:rsid w:val="008F6208"/>
    <w:rsid w:val="00900B38"/>
    <w:rsid w:val="009032B6"/>
    <w:rsid w:val="00903707"/>
    <w:rsid w:val="0090464A"/>
    <w:rsid w:val="00905B2F"/>
    <w:rsid w:val="00906147"/>
    <w:rsid w:val="00906A8B"/>
    <w:rsid w:val="00907DB9"/>
    <w:rsid w:val="0091104F"/>
    <w:rsid w:val="00911D95"/>
    <w:rsid w:val="0091651A"/>
    <w:rsid w:val="00923E06"/>
    <w:rsid w:val="00924C8C"/>
    <w:rsid w:val="00925CA5"/>
    <w:rsid w:val="00926502"/>
    <w:rsid w:val="00926BF6"/>
    <w:rsid w:val="00926C79"/>
    <w:rsid w:val="00930028"/>
    <w:rsid w:val="009310A6"/>
    <w:rsid w:val="00932123"/>
    <w:rsid w:val="00933E72"/>
    <w:rsid w:val="00937460"/>
    <w:rsid w:val="0094065B"/>
    <w:rsid w:val="009422AA"/>
    <w:rsid w:val="009479A5"/>
    <w:rsid w:val="00950232"/>
    <w:rsid w:val="009506FA"/>
    <w:rsid w:val="00951C39"/>
    <w:rsid w:val="009572C2"/>
    <w:rsid w:val="009604B7"/>
    <w:rsid w:val="009610B2"/>
    <w:rsid w:val="009650BC"/>
    <w:rsid w:val="009748E2"/>
    <w:rsid w:val="0097557C"/>
    <w:rsid w:val="0097585D"/>
    <w:rsid w:val="00976C7C"/>
    <w:rsid w:val="00976E18"/>
    <w:rsid w:val="009842CB"/>
    <w:rsid w:val="00985971"/>
    <w:rsid w:val="00985AC2"/>
    <w:rsid w:val="00985D35"/>
    <w:rsid w:val="00990B1A"/>
    <w:rsid w:val="0099132F"/>
    <w:rsid w:val="00993323"/>
    <w:rsid w:val="00993882"/>
    <w:rsid w:val="00995B3B"/>
    <w:rsid w:val="009A20EC"/>
    <w:rsid w:val="009A3E71"/>
    <w:rsid w:val="009A4209"/>
    <w:rsid w:val="009A46AF"/>
    <w:rsid w:val="009A554E"/>
    <w:rsid w:val="009A5C78"/>
    <w:rsid w:val="009A6276"/>
    <w:rsid w:val="009A7158"/>
    <w:rsid w:val="009A7492"/>
    <w:rsid w:val="009B0621"/>
    <w:rsid w:val="009B0A10"/>
    <w:rsid w:val="009B27EE"/>
    <w:rsid w:val="009B317D"/>
    <w:rsid w:val="009B4198"/>
    <w:rsid w:val="009B7ACE"/>
    <w:rsid w:val="009C16F6"/>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57C0"/>
    <w:rsid w:val="00A07553"/>
    <w:rsid w:val="00A108D5"/>
    <w:rsid w:val="00A10A7E"/>
    <w:rsid w:val="00A10CC6"/>
    <w:rsid w:val="00A1381C"/>
    <w:rsid w:val="00A15F22"/>
    <w:rsid w:val="00A21C77"/>
    <w:rsid w:val="00A21EC2"/>
    <w:rsid w:val="00A245F7"/>
    <w:rsid w:val="00A25CD4"/>
    <w:rsid w:val="00A25DD9"/>
    <w:rsid w:val="00A261CB"/>
    <w:rsid w:val="00A27EDB"/>
    <w:rsid w:val="00A328C7"/>
    <w:rsid w:val="00A41A80"/>
    <w:rsid w:val="00A41D10"/>
    <w:rsid w:val="00A43077"/>
    <w:rsid w:val="00A44933"/>
    <w:rsid w:val="00A47D17"/>
    <w:rsid w:val="00A47E1C"/>
    <w:rsid w:val="00A5066F"/>
    <w:rsid w:val="00A50EE0"/>
    <w:rsid w:val="00A56D8D"/>
    <w:rsid w:val="00A61A34"/>
    <w:rsid w:val="00A67FAE"/>
    <w:rsid w:val="00A70033"/>
    <w:rsid w:val="00A7469C"/>
    <w:rsid w:val="00A77C49"/>
    <w:rsid w:val="00A8137F"/>
    <w:rsid w:val="00A831F7"/>
    <w:rsid w:val="00A849A5"/>
    <w:rsid w:val="00A908EC"/>
    <w:rsid w:val="00A95732"/>
    <w:rsid w:val="00A9674A"/>
    <w:rsid w:val="00AA419A"/>
    <w:rsid w:val="00AA76EB"/>
    <w:rsid w:val="00AB150A"/>
    <w:rsid w:val="00AB27EF"/>
    <w:rsid w:val="00AB4ABF"/>
    <w:rsid w:val="00AB5318"/>
    <w:rsid w:val="00AC0148"/>
    <w:rsid w:val="00AC27D3"/>
    <w:rsid w:val="00AC3904"/>
    <w:rsid w:val="00AC6D7B"/>
    <w:rsid w:val="00AD0ED7"/>
    <w:rsid w:val="00AD2439"/>
    <w:rsid w:val="00AD5B5F"/>
    <w:rsid w:val="00AE035C"/>
    <w:rsid w:val="00AE5444"/>
    <w:rsid w:val="00AE745D"/>
    <w:rsid w:val="00AE79C3"/>
    <w:rsid w:val="00AE7D41"/>
    <w:rsid w:val="00AF047E"/>
    <w:rsid w:val="00AF323A"/>
    <w:rsid w:val="00AF3FFC"/>
    <w:rsid w:val="00AF5088"/>
    <w:rsid w:val="00AF613B"/>
    <w:rsid w:val="00AF7EE7"/>
    <w:rsid w:val="00B0067D"/>
    <w:rsid w:val="00B00A29"/>
    <w:rsid w:val="00B02786"/>
    <w:rsid w:val="00B06BAD"/>
    <w:rsid w:val="00B071AC"/>
    <w:rsid w:val="00B1159B"/>
    <w:rsid w:val="00B1195A"/>
    <w:rsid w:val="00B11A6E"/>
    <w:rsid w:val="00B134F4"/>
    <w:rsid w:val="00B155B5"/>
    <w:rsid w:val="00B16214"/>
    <w:rsid w:val="00B2210B"/>
    <w:rsid w:val="00B27247"/>
    <w:rsid w:val="00B30EE2"/>
    <w:rsid w:val="00B31E7B"/>
    <w:rsid w:val="00B32E5D"/>
    <w:rsid w:val="00B330FC"/>
    <w:rsid w:val="00B367E9"/>
    <w:rsid w:val="00B40B7F"/>
    <w:rsid w:val="00B414E1"/>
    <w:rsid w:val="00B46AA6"/>
    <w:rsid w:val="00B47946"/>
    <w:rsid w:val="00B50A5A"/>
    <w:rsid w:val="00B5441B"/>
    <w:rsid w:val="00B54D08"/>
    <w:rsid w:val="00B623E3"/>
    <w:rsid w:val="00B62558"/>
    <w:rsid w:val="00B662D4"/>
    <w:rsid w:val="00B66DC5"/>
    <w:rsid w:val="00B721B0"/>
    <w:rsid w:val="00B762B4"/>
    <w:rsid w:val="00B77AF9"/>
    <w:rsid w:val="00B855B7"/>
    <w:rsid w:val="00B85879"/>
    <w:rsid w:val="00B85DF4"/>
    <w:rsid w:val="00B86072"/>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11BF"/>
    <w:rsid w:val="00BC3526"/>
    <w:rsid w:val="00BC3C29"/>
    <w:rsid w:val="00BD06F7"/>
    <w:rsid w:val="00BD2214"/>
    <w:rsid w:val="00BD2301"/>
    <w:rsid w:val="00BD3DC3"/>
    <w:rsid w:val="00BD4268"/>
    <w:rsid w:val="00BD646E"/>
    <w:rsid w:val="00BE3794"/>
    <w:rsid w:val="00BE39F7"/>
    <w:rsid w:val="00BE5F99"/>
    <w:rsid w:val="00BE5FF4"/>
    <w:rsid w:val="00BF0235"/>
    <w:rsid w:val="00BF3095"/>
    <w:rsid w:val="00BF5B7E"/>
    <w:rsid w:val="00C003B6"/>
    <w:rsid w:val="00C117B4"/>
    <w:rsid w:val="00C17614"/>
    <w:rsid w:val="00C20202"/>
    <w:rsid w:val="00C219CF"/>
    <w:rsid w:val="00C2459E"/>
    <w:rsid w:val="00C47998"/>
    <w:rsid w:val="00C510F6"/>
    <w:rsid w:val="00C565FB"/>
    <w:rsid w:val="00C576CF"/>
    <w:rsid w:val="00C61B89"/>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C0599"/>
    <w:rsid w:val="00CC09BC"/>
    <w:rsid w:val="00CC2003"/>
    <w:rsid w:val="00CC46F5"/>
    <w:rsid w:val="00CC5007"/>
    <w:rsid w:val="00CC77C0"/>
    <w:rsid w:val="00CD3C34"/>
    <w:rsid w:val="00CD4BC0"/>
    <w:rsid w:val="00CD5AF6"/>
    <w:rsid w:val="00CD721F"/>
    <w:rsid w:val="00CD7FBE"/>
    <w:rsid w:val="00CE24B6"/>
    <w:rsid w:val="00CE5DDF"/>
    <w:rsid w:val="00CE63F0"/>
    <w:rsid w:val="00CF1E27"/>
    <w:rsid w:val="00CF7A35"/>
    <w:rsid w:val="00CF7AA9"/>
    <w:rsid w:val="00D00425"/>
    <w:rsid w:val="00D01D2A"/>
    <w:rsid w:val="00D034BB"/>
    <w:rsid w:val="00D053E8"/>
    <w:rsid w:val="00D144B9"/>
    <w:rsid w:val="00D23091"/>
    <w:rsid w:val="00D23639"/>
    <w:rsid w:val="00D24529"/>
    <w:rsid w:val="00D2544B"/>
    <w:rsid w:val="00D25727"/>
    <w:rsid w:val="00D26928"/>
    <w:rsid w:val="00D31D7B"/>
    <w:rsid w:val="00D3209A"/>
    <w:rsid w:val="00D33629"/>
    <w:rsid w:val="00D34C16"/>
    <w:rsid w:val="00D37C6B"/>
    <w:rsid w:val="00D43386"/>
    <w:rsid w:val="00D44F72"/>
    <w:rsid w:val="00D45DD8"/>
    <w:rsid w:val="00D47995"/>
    <w:rsid w:val="00D47B85"/>
    <w:rsid w:val="00D52AA3"/>
    <w:rsid w:val="00D52F9C"/>
    <w:rsid w:val="00D54A06"/>
    <w:rsid w:val="00D56054"/>
    <w:rsid w:val="00D5745F"/>
    <w:rsid w:val="00D607B7"/>
    <w:rsid w:val="00D63717"/>
    <w:rsid w:val="00D656F8"/>
    <w:rsid w:val="00D67213"/>
    <w:rsid w:val="00D67961"/>
    <w:rsid w:val="00D706BD"/>
    <w:rsid w:val="00D7190D"/>
    <w:rsid w:val="00D723FB"/>
    <w:rsid w:val="00D75164"/>
    <w:rsid w:val="00D75915"/>
    <w:rsid w:val="00D759B0"/>
    <w:rsid w:val="00D77E29"/>
    <w:rsid w:val="00D82B19"/>
    <w:rsid w:val="00D915D6"/>
    <w:rsid w:val="00D91C9F"/>
    <w:rsid w:val="00D9264C"/>
    <w:rsid w:val="00D958AF"/>
    <w:rsid w:val="00DA044E"/>
    <w:rsid w:val="00DA18DE"/>
    <w:rsid w:val="00DA3F45"/>
    <w:rsid w:val="00DA73C2"/>
    <w:rsid w:val="00DA7CC0"/>
    <w:rsid w:val="00DB1290"/>
    <w:rsid w:val="00DB211D"/>
    <w:rsid w:val="00DB29AD"/>
    <w:rsid w:val="00DB2DDF"/>
    <w:rsid w:val="00DB481C"/>
    <w:rsid w:val="00DB61AB"/>
    <w:rsid w:val="00DB6BA5"/>
    <w:rsid w:val="00DB7D0B"/>
    <w:rsid w:val="00DC113E"/>
    <w:rsid w:val="00DC1BA6"/>
    <w:rsid w:val="00DC520D"/>
    <w:rsid w:val="00DC704D"/>
    <w:rsid w:val="00DD026C"/>
    <w:rsid w:val="00DD238C"/>
    <w:rsid w:val="00DD4E55"/>
    <w:rsid w:val="00DE16AA"/>
    <w:rsid w:val="00DE4573"/>
    <w:rsid w:val="00DE6640"/>
    <w:rsid w:val="00DF0A96"/>
    <w:rsid w:val="00DF33CE"/>
    <w:rsid w:val="00DF61E7"/>
    <w:rsid w:val="00DF6528"/>
    <w:rsid w:val="00E00574"/>
    <w:rsid w:val="00E007E1"/>
    <w:rsid w:val="00E04D75"/>
    <w:rsid w:val="00E06877"/>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7E9E"/>
    <w:rsid w:val="00E523D1"/>
    <w:rsid w:val="00E52734"/>
    <w:rsid w:val="00E5279E"/>
    <w:rsid w:val="00E55322"/>
    <w:rsid w:val="00E56F70"/>
    <w:rsid w:val="00E62E89"/>
    <w:rsid w:val="00E67072"/>
    <w:rsid w:val="00E67D10"/>
    <w:rsid w:val="00E7074A"/>
    <w:rsid w:val="00E716B6"/>
    <w:rsid w:val="00E747C0"/>
    <w:rsid w:val="00E80443"/>
    <w:rsid w:val="00E83A45"/>
    <w:rsid w:val="00E84BFF"/>
    <w:rsid w:val="00E855CA"/>
    <w:rsid w:val="00E8713D"/>
    <w:rsid w:val="00E90D9A"/>
    <w:rsid w:val="00E9293D"/>
    <w:rsid w:val="00E93D38"/>
    <w:rsid w:val="00E969A6"/>
    <w:rsid w:val="00E97156"/>
    <w:rsid w:val="00EA050B"/>
    <w:rsid w:val="00EA2392"/>
    <w:rsid w:val="00EA4710"/>
    <w:rsid w:val="00EB2A31"/>
    <w:rsid w:val="00EB4F7A"/>
    <w:rsid w:val="00EB7625"/>
    <w:rsid w:val="00EC05E8"/>
    <w:rsid w:val="00EC1367"/>
    <w:rsid w:val="00ED4304"/>
    <w:rsid w:val="00ED6236"/>
    <w:rsid w:val="00EE0647"/>
    <w:rsid w:val="00EE321A"/>
    <w:rsid w:val="00EE488D"/>
    <w:rsid w:val="00EE6F76"/>
    <w:rsid w:val="00EE7DC7"/>
    <w:rsid w:val="00EF0F6C"/>
    <w:rsid w:val="00EF47AC"/>
    <w:rsid w:val="00F00241"/>
    <w:rsid w:val="00F02878"/>
    <w:rsid w:val="00F03270"/>
    <w:rsid w:val="00F065A3"/>
    <w:rsid w:val="00F07953"/>
    <w:rsid w:val="00F14790"/>
    <w:rsid w:val="00F23839"/>
    <w:rsid w:val="00F25316"/>
    <w:rsid w:val="00F25321"/>
    <w:rsid w:val="00F2799D"/>
    <w:rsid w:val="00F34FE4"/>
    <w:rsid w:val="00F36AE6"/>
    <w:rsid w:val="00F37135"/>
    <w:rsid w:val="00F37D8C"/>
    <w:rsid w:val="00F405FF"/>
    <w:rsid w:val="00F43044"/>
    <w:rsid w:val="00F43FC8"/>
    <w:rsid w:val="00F44D9C"/>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A1EE0"/>
    <w:rsid w:val="00FA300A"/>
    <w:rsid w:val="00FA3E7C"/>
    <w:rsid w:val="00FB560E"/>
    <w:rsid w:val="00FC1EF3"/>
    <w:rsid w:val="00FC41DA"/>
    <w:rsid w:val="00FC7626"/>
    <w:rsid w:val="00FD22B0"/>
    <w:rsid w:val="00FD6E08"/>
    <w:rsid w:val="00FD7940"/>
    <w:rsid w:val="00FD7A12"/>
    <w:rsid w:val="00FE16A2"/>
    <w:rsid w:val="00FE348B"/>
    <w:rsid w:val="00FE5729"/>
    <w:rsid w:val="00FE5B9C"/>
    <w:rsid w:val="00FE6A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98381593">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2">
          <w:marLeft w:val="0"/>
          <w:marRight w:val="0"/>
          <w:marTop w:val="0"/>
          <w:marBottom w:val="0"/>
          <w:divBdr>
            <w:top w:val="none" w:sz="0" w:space="0" w:color="auto"/>
            <w:left w:val="none" w:sz="0" w:space="0" w:color="auto"/>
            <w:bottom w:val="none" w:sz="0" w:space="0" w:color="auto"/>
            <w:right w:val="none" w:sz="0" w:space="0" w:color="auto"/>
          </w:divBdr>
          <w:divsChild>
            <w:div w:id="1711564896">
              <w:marLeft w:val="0"/>
              <w:marRight w:val="0"/>
              <w:marTop w:val="0"/>
              <w:marBottom w:val="0"/>
              <w:divBdr>
                <w:top w:val="none" w:sz="0" w:space="0" w:color="auto"/>
                <w:left w:val="none" w:sz="0" w:space="0" w:color="auto"/>
                <w:bottom w:val="none" w:sz="0" w:space="0" w:color="auto"/>
                <w:right w:val="none" w:sz="0" w:space="0" w:color="auto"/>
              </w:divBdr>
              <w:divsChild>
                <w:div w:id="1301838869">
                  <w:marLeft w:val="0"/>
                  <w:marRight w:val="0"/>
                  <w:marTop w:val="0"/>
                  <w:marBottom w:val="0"/>
                  <w:divBdr>
                    <w:top w:val="none" w:sz="0" w:space="0" w:color="auto"/>
                    <w:left w:val="none" w:sz="0" w:space="0" w:color="auto"/>
                    <w:bottom w:val="none" w:sz="0" w:space="0" w:color="auto"/>
                    <w:right w:val="none" w:sz="0" w:space="0" w:color="auto"/>
                  </w:divBdr>
                  <w:divsChild>
                    <w:div w:id="1546716579">
                      <w:marLeft w:val="168"/>
                      <w:marRight w:val="0"/>
                      <w:marTop w:val="0"/>
                      <w:marBottom w:val="0"/>
                      <w:divBdr>
                        <w:top w:val="none" w:sz="0" w:space="0" w:color="auto"/>
                        <w:left w:val="none" w:sz="0" w:space="0" w:color="auto"/>
                        <w:bottom w:val="none" w:sz="0" w:space="0" w:color="auto"/>
                        <w:right w:val="none" w:sz="0" w:space="0" w:color="auto"/>
                      </w:divBdr>
                      <w:divsChild>
                        <w:div w:id="2039239588">
                          <w:marLeft w:val="0"/>
                          <w:marRight w:val="0"/>
                          <w:marTop w:val="0"/>
                          <w:marBottom w:val="0"/>
                          <w:divBdr>
                            <w:top w:val="none" w:sz="0" w:space="0" w:color="auto"/>
                            <w:left w:val="none" w:sz="0" w:space="0" w:color="auto"/>
                            <w:bottom w:val="none" w:sz="0" w:space="0" w:color="auto"/>
                            <w:right w:val="none" w:sz="0" w:space="0" w:color="auto"/>
                          </w:divBdr>
                          <w:divsChild>
                            <w:div w:id="987318247">
                              <w:marLeft w:val="0"/>
                              <w:marRight w:val="0"/>
                              <w:marTop w:val="0"/>
                              <w:marBottom w:val="0"/>
                              <w:divBdr>
                                <w:top w:val="none" w:sz="0" w:space="0" w:color="auto"/>
                                <w:left w:val="none" w:sz="0" w:space="0" w:color="auto"/>
                                <w:bottom w:val="none" w:sz="0" w:space="0" w:color="auto"/>
                                <w:right w:val="none" w:sz="0" w:space="0" w:color="auto"/>
                              </w:divBdr>
                              <w:divsChild>
                                <w:div w:id="1511411826">
                                  <w:marLeft w:val="0"/>
                                  <w:marRight w:val="0"/>
                                  <w:marTop w:val="0"/>
                                  <w:marBottom w:val="0"/>
                                  <w:divBdr>
                                    <w:top w:val="none" w:sz="0" w:space="0" w:color="auto"/>
                                    <w:left w:val="none" w:sz="0" w:space="0" w:color="auto"/>
                                    <w:bottom w:val="none" w:sz="0" w:space="0" w:color="auto"/>
                                    <w:right w:val="none" w:sz="0" w:space="0" w:color="auto"/>
                                  </w:divBdr>
                                  <w:divsChild>
                                    <w:div w:id="1053893346">
                                      <w:marLeft w:val="0"/>
                                      <w:marRight w:val="0"/>
                                      <w:marTop w:val="0"/>
                                      <w:marBottom w:val="0"/>
                                      <w:divBdr>
                                        <w:top w:val="none" w:sz="0" w:space="0" w:color="auto"/>
                                        <w:left w:val="none" w:sz="0" w:space="0" w:color="auto"/>
                                        <w:bottom w:val="none" w:sz="0" w:space="0" w:color="auto"/>
                                        <w:right w:val="none" w:sz="0" w:space="0" w:color="auto"/>
                                      </w:divBdr>
                                      <w:divsChild>
                                        <w:div w:id="1764106434">
                                          <w:marLeft w:val="0"/>
                                          <w:marRight w:val="0"/>
                                          <w:marTop w:val="0"/>
                                          <w:marBottom w:val="0"/>
                                          <w:divBdr>
                                            <w:top w:val="none" w:sz="0" w:space="0" w:color="auto"/>
                                            <w:left w:val="none" w:sz="0" w:space="0" w:color="auto"/>
                                            <w:bottom w:val="none" w:sz="0" w:space="0" w:color="auto"/>
                                            <w:right w:val="none" w:sz="0" w:space="0" w:color="auto"/>
                                          </w:divBdr>
                                          <w:divsChild>
                                            <w:div w:id="363211621">
                                              <w:marLeft w:val="0"/>
                                              <w:marRight w:val="0"/>
                                              <w:marTop w:val="0"/>
                                              <w:marBottom w:val="0"/>
                                              <w:divBdr>
                                                <w:top w:val="none" w:sz="0" w:space="0" w:color="auto"/>
                                                <w:left w:val="none" w:sz="0" w:space="0" w:color="auto"/>
                                                <w:bottom w:val="none" w:sz="0" w:space="0" w:color="auto"/>
                                                <w:right w:val="none" w:sz="0" w:space="0" w:color="auto"/>
                                              </w:divBdr>
                                              <w:divsChild>
                                                <w:div w:id="317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EA66A472EC854892E257C115BD73C0" ma:contentTypeVersion="28" ma:contentTypeDescription="DET Document" ma:contentTypeScope="" ma:versionID="d1b08d0ea1f56f32e89aec1564387ee8">
  <xsd:schema xmlns:xsd="http://www.w3.org/2001/XMLSchema" xmlns:xs="http://www.w3.org/2001/XMLSchema" xmlns:p="http://schemas.microsoft.com/office/2006/metadata/properties" xmlns:ns1="http://schemas.microsoft.com/sharepoint/v3" xmlns:ns2="http://schemas.microsoft.com/Sharepoint/v3" xmlns:ns3="1966e606-8b69-4075-9ef8-a409e80aaa70" xmlns:ns4="6e72e25f-2214-4ccb-9b5c-2f2387e25661" targetNamespace="http://schemas.microsoft.com/office/2006/metadata/properties" ma:root="true" ma:fieldsID="23d126d70dfc3ef346bdb1b23448f2d0" ns1:_="" ns2:_="" ns3:_="" ns4:_="">
    <xsd:import namespace="http://schemas.microsoft.com/sharepoint/v3"/>
    <xsd:import namespace="http://schemas.microsoft.com/Sharepoint/v3"/>
    <xsd:import namespace="1966e606-8b69-4075-9ef8-a409e80aaa70"/>
    <xsd:import namespace="6e72e25f-2214-4ccb-9b5c-2f2387e2566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Description" minOccurs="0"/>
                <xsd:element ref="ns1:PublishingContactName" minOccurs="0"/>
                <xsd:element ref="ns4:llg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5"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4"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e25f-2214-4ccb-9b5c-2f2387e25661" elementFormDefault="qualified">
    <xsd:import namespace="http://schemas.microsoft.com/office/2006/documentManagement/types"/>
    <xsd:import namespace="http://schemas.microsoft.com/office/infopath/2007/PartnerControls"/>
    <xsd:element name="llgj" ma:index="16" nillable="true" ma:displayName="Person or Group" ma:list="UserInfo" ma:internalName="llg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purl.org/dc/elements/1.1/"/>
    <ds:schemaRef ds:uri="http://schemas.microsoft.com/office/2006/metadata/properties"/>
    <ds:schemaRef ds:uri="http://schemas.openxmlformats.org/package/2006/metadata/core-properties"/>
    <ds:schemaRef ds:uri="http://schemas.microsoft.com/sharepoint/v3"/>
    <ds:schemaRef ds:uri="1966e606-8b69-4075-9ef8-a409e80aaa70"/>
    <ds:schemaRef ds:uri="http://purl.org/dc/terms/"/>
    <ds:schemaRef ds:uri="http://schemas.microsoft.com/office/infopath/2007/PartnerControls"/>
    <ds:schemaRef ds:uri="http://schemas.microsoft.com/office/2006/documentManagement/types"/>
    <ds:schemaRef ds:uri="6e72e25f-2214-4ccb-9b5c-2f2387e2566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487318E3-6991-462A-AF3E-C8CFD72875B0}"/>
</file>

<file path=customXml/itemProps4.xml><?xml version="1.0" encoding="utf-8"?>
<ds:datastoreItem xmlns:ds="http://schemas.openxmlformats.org/officeDocument/2006/customXml" ds:itemID="{9158FA6A-3004-4CC7-85F9-EFEF10D3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6e72e25f-2214-4ccb-9b5c-2f2387e2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18C113-614D-4E34-B665-82D50FD8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412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Desouza, Ian I</cp:lastModifiedBy>
  <cp:revision>17</cp:revision>
  <cp:lastPrinted>2019-10-17T07:51:00Z</cp:lastPrinted>
  <dcterms:created xsi:type="dcterms:W3CDTF">2019-11-05T22:03:00Z</dcterms:created>
  <dcterms:modified xsi:type="dcterms:W3CDTF">2020-01-28T02:59:00Z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{1c7ce9ad-aa35-4bd9-ad64-c255d038b23d}</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